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4B026B" w14:textId="13DFF35C" w:rsidR="008E4AB4" w:rsidRPr="00693CE1" w:rsidRDefault="008A3E88" w:rsidP="008E4AB4">
      <w:pPr>
        <w:pStyle w:val="Default"/>
        <w:spacing w:after="120"/>
        <w:jc w:val="center"/>
        <w:rPr>
          <w:rFonts w:cs="Arial"/>
          <w:b/>
          <w:sz w:val="32"/>
          <w:szCs w:val="32"/>
        </w:rPr>
      </w:pPr>
      <w:r>
        <w:rPr>
          <w:rFonts w:cs="Arial"/>
          <w:b/>
          <w:bCs/>
          <w:sz w:val="32"/>
          <w:szCs w:val="32"/>
        </w:rPr>
        <w:t>Access to High Perform</w:t>
      </w:r>
      <w:bookmarkStart w:id="0" w:name="_GoBack"/>
      <w:bookmarkEnd w:id="0"/>
      <w:r>
        <w:rPr>
          <w:rFonts w:cs="Arial"/>
          <w:b/>
          <w:bCs/>
          <w:sz w:val="32"/>
          <w:szCs w:val="32"/>
        </w:rPr>
        <w:t>ance Computing</w:t>
      </w:r>
      <w:r w:rsidR="00FA17F0">
        <w:rPr>
          <w:rFonts w:cs="Arial"/>
          <w:b/>
          <w:bCs/>
          <w:sz w:val="32"/>
          <w:szCs w:val="32"/>
        </w:rPr>
        <w:t xml:space="preserve"> Call: A</w:t>
      </w:r>
      <w:r w:rsidR="00FA17F0">
        <w:rPr>
          <w:rFonts w:cs="Arial"/>
          <w:b/>
          <w:bCs/>
          <w:sz w:val="32"/>
          <w:szCs w:val="32"/>
        </w:rPr>
        <w:t>p</w:t>
      </w:r>
      <w:r w:rsidR="00FA17F0">
        <w:rPr>
          <w:rFonts w:cs="Arial"/>
          <w:b/>
          <w:bCs/>
          <w:sz w:val="32"/>
          <w:szCs w:val="32"/>
        </w:rPr>
        <w:t>plication Form</w:t>
      </w:r>
    </w:p>
    <w:p w14:paraId="46F97E24" w14:textId="103B328A" w:rsidR="00EB23B8" w:rsidRPr="00500763" w:rsidRDefault="00EB23B8" w:rsidP="00EB23B8">
      <w:pPr>
        <w:spacing w:after="220" w:line="240" w:lineRule="auto"/>
        <w:jc w:val="center"/>
        <w:rPr>
          <w:rFonts w:ascii="Verdana" w:eastAsia="Times New Roman" w:hAnsi="Verdana" w:cs="Times New Roman"/>
          <w:b/>
          <w:szCs w:val="24"/>
          <w:lang w:eastAsia="en-GB"/>
        </w:rPr>
      </w:pPr>
      <w:r w:rsidRPr="00EB23B8">
        <w:rPr>
          <w:rFonts w:ascii="Verdana" w:eastAsia="Times New Roman" w:hAnsi="Verdana" w:cs="Times New Roman"/>
          <w:b/>
          <w:szCs w:val="24"/>
          <w:lang w:eastAsia="en-GB"/>
        </w:rPr>
        <w:t>Closing date for applications to EPSRC</w:t>
      </w:r>
      <w:r w:rsidRPr="00500763">
        <w:rPr>
          <w:rFonts w:ascii="Verdana" w:eastAsia="Times New Roman" w:hAnsi="Verdana" w:cs="Times New Roman"/>
          <w:b/>
          <w:szCs w:val="24"/>
          <w:lang w:eastAsia="en-GB"/>
        </w:rPr>
        <w:t xml:space="preserve">: </w:t>
      </w:r>
      <w:r w:rsidR="00B92CE0">
        <w:rPr>
          <w:rFonts w:ascii="Verdana" w:eastAsia="Times New Roman" w:hAnsi="Verdana" w:cs="Times New Roman"/>
          <w:b/>
          <w:szCs w:val="24"/>
          <w:lang w:eastAsia="en-GB"/>
        </w:rPr>
        <w:t>30</w:t>
      </w:r>
      <w:r w:rsidR="00985763" w:rsidRPr="00500763">
        <w:rPr>
          <w:rFonts w:ascii="Verdana" w:eastAsia="Times New Roman" w:hAnsi="Verdana" w:cs="Times New Roman"/>
          <w:b/>
          <w:szCs w:val="24"/>
          <w:lang w:eastAsia="en-GB"/>
        </w:rPr>
        <w:t xml:space="preserve">th </w:t>
      </w:r>
      <w:r w:rsidR="00B92CE0">
        <w:rPr>
          <w:rFonts w:ascii="Verdana" w:eastAsia="Times New Roman" w:hAnsi="Verdana" w:cs="Times New Roman"/>
          <w:b/>
          <w:szCs w:val="24"/>
          <w:lang w:eastAsia="en-GB"/>
        </w:rPr>
        <w:t>April</w:t>
      </w:r>
      <w:r w:rsidR="00985763" w:rsidRPr="00500763">
        <w:rPr>
          <w:rFonts w:ascii="Verdana" w:eastAsia="Times New Roman" w:hAnsi="Verdana" w:cs="Times New Roman"/>
          <w:b/>
          <w:szCs w:val="24"/>
          <w:lang w:eastAsia="en-GB"/>
        </w:rPr>
        <w:t xml:space="preserve"> </w:t>
      </w:r>
      <w:r w:rsidR="009B1623" w:rsidRPr="00500763">
        <w:rPr>
          <w:rFonts w:ascii="Verdana" w:eastAsia="Times New Roman" w:hAnsi="Verdana" w:cs="Times New Roman"/>
          <w:b/>
          <w:szCs w:val="24"/>
          <w:lang w:eastAsia="en-GB"/>
        </w:rPr>
        <w:t>20</w:t>
      </w:r>
      <w:r w:rsidR="00500763" w:rsidRPr="00500763">
        <w:rPr>
          <w:rFonts w:ascii="Verdana" w:eastAsia="Times New Roman" w:hAnsi="Verdana" w:cs="Times New Roman"/>
          <w:b/>
          <w:szCs w:val="24"/>
          <w:lang w:eastAsia="en-GB"/>
        </w:rPr>
        <w:t>2</w:t>
      </w:r>
      <w:r w:rsidR="00B92CE0">
        <w:rPr>
          <w:rFonts w:ascii="Verdana" w:eastAsia="Times New Roman" w:hAnsi="Verdana" w:cs="Times New Roman"/>
          <w:b/>
          <w:szCs w:val="24"/>
          <w:lang w:eastAsia="en-GB"/>
        </w:rPr>
        <w:t>1</w:t>
      </w:r>
      <w:r w:rsidRPr="00500763">
        <w:rPr>
          <w:rFonts w:ascii="Verdana" w:eastAsia="Times New Roman" w:hAnsi="Verdana" w:cs="Times New Roman"/>
          <w:b/>
          <w:szCs w:val="24"/>
          <w:lang w:eastAsia="en-GB"/>
        </w:rPr>
        <w:t xml:space="preserve"> at 16:00</w:t>
      </w:r>
    </w:p>
    <w:p w14:paraId="6C68F5EE" w14:textId="3FFC74C1" w:rsidR="00EB23B8" w:rsidRPr="00EB23B8" w:rsidRDefault="00EB23B8" w:rsidP="00EB23B8">
      <w:pPr>
        <w:spacing w:after="220" w:line="240" w:lineRule="auto"/>
        <w:jc w:val="center"/>
        <w:rPr>
          <w:rFonts w:ascii="Verdana" w:eastAsia="Times New Roman" w:hAnsi="Verdana" w:cs="Times New Roman"/>
          <w:b/>
          <w:szCs w:val="24"/>
          <w:lang w:eastAsia="en-GB"/>
        </w:rPr>
      </w:pPr>
      <w:r w:rsidRPr="00500763">
        <w:rPr>
          <w:rFonts w:ascii="Verdana" w:eastAsia="Times New Roman" w:hAnsi="Verdana" w:cs="Times New Roman"/>
          <w:b/>
          <w:bCs/>
          <w:szCs w:val="24"/>
          <w:lang w:eastAsia="en-GB"/>
        </w:rPr>
        <w:t xml:space="preserve">Closing date </w:t>
      </w:r>
      <w:r w:rsidR="00454A9A" w:rsidRPr="00500763">
        <w:rPr>
          <w:rFonts w:ascii="Verdana" w:eastAsia="Times New Roman" w:hAnsi="Verdana" w:cs="Times New Roman"/>
          <w:b/>
          <w:bCs/>
          <w:szCs w:val="24"/>
          <w:lang w:eastAsia="en-GB"/>
        </w:rPr>
        <w:t>for the technical assessment</w:t>
      </w:r>
      <w:r w:rsidR="00985763" w:rsidRPr="00500763">
        <w:rPr>
          <w:rFonts w:ascii="Verdana" w:eastAsia="Times New Roman" w:hAnsi="Verdana" w:cs="Times New Roman"/>
          <w:b/>
          <w:bCs/>
          <w:szCs w:val="24"/>
          <w:lang w:eastAsia="en-GB"/>
        </w:rPr>
        <w:t xml:space="preserve"> </w:t>
      </w:r>
      <w:r w:rsidR="008A3E88" w:rsidRPr="00500763">
        <w:rPr>
          <w:rFonts w:ascii="Verdana" w:eastAsia="Times New Roman" w:hAnsi="Verdana" w:cs="Times New Roman"/>
          <w:b/>
          <w:bCs/>
          <w:szCs w:val="24"/>
          <w:lang w:eastAsia="en-GB"/>
        </w:rPr>
        <w:t>(</w:t>
      </w:r>
      <w:r w:rsidR="00985763" w:rsidRPr="00500763">
        <w:rPr>
          <w:rFonts w:ascii="Verdana" w:eastAsia="Times New Roman" w:hAnsi="Verdana" w:cs="Times New Roman"/>
          <w:b/>
          <w:bCs/>
          <w:szCs w:val="24"/>
          <w:lang w:eastAsia="en-GB"/>
        </w:rPr>
        <w:t xml:space="preserve">needs to be </w:t>
      </w:r>
      <w:r w:rsidR="008A3E88" w:rsidRPr="00500763">
        <w:rPr>
          <w:rFonts w:ascii="Verdana" w:eastAsia="Times New Roman" w:hAnsi="Verdana" w:cs="Times New Roman"/>
          <w:b/>
          <w:bCs/>
          <w:szCs w:val="24"/>
          <w:lang w:eastAsia="en-GB"/>
        </w:rPr>
        <w:t>included in</w:t>
      </w:r>
      <w:r w:rsidR="00985763" w:rsidRPr="00500763">
        <w:rPr>
          <w:rFonts w:ascii="Verdana" w:eastAsia="Times New Roman" w:hAnsi="Verdana" w:cs="Times New Roman"/>
          <w:b/>
          <w:bCs/>
          <w:szCs w:val="24"/>
          <w:lang w:eastAsia="en-GB"/>
        </w:rPr>
        <w:t xml:space="preserve"> your application</w:t>
      </w:r>
      <w:r w:rsidR="008A3E88" w:rsidRPr="00500763">
        <w:rPr>
          <w:rFonts w:ascii="Verdana" w:eastAsia="Times New Roman" w:hAnsi="Verdana" w:cs="Times New Roman"/>
          <w:b/>
          <w:bCs/>
          <w:szCs w:val="24"/>
          <w:lang w:eastAsia="en-GB"/>
        </w:rPr>
        <w:t>)</w:t>
      </w:r>
      <w:r w:rsidR="00454A9A" w:rsidRPr="00500763">
        <w:rPr>
          <w:rFonts w:ascii="Verdana" w:eastAsia="Times New Roman" w:hAnsi="Verdana" w:cs="Times New Roman"/>
          <w:b/>
          <w:bCs/>
          <w:szCs w:val="24"/>
          <w:lang w:eastAsia="en-GB"/>
        </w:rPr>
        <w:t xml:space="preserve">: </w:t>
      </w:r>
      <w:r w:rsidR="00B92CE0">
        <w:rPr>
          <w:rFonts w:ascii="Verdana" w:eastAsia="Times New Roman" w:hAnsi="Verdana" w:cs="Times New Roman"/>
          <w:b/>
          <w:bCs/>
          <w:szCs w:val="24"/>
          <w:lang w:eastAsia="en-GB"/>
        </w:rPr>
        <w:t>2nd</w:t>
      </w:r>
      <w:r w:rsidR="00985763" w:rsidRPr="00500763">
        <w:rPr>
          <w:rFonts w:ascii="Verdana" w:eastAsia="Times New Roman" w:hAnsi="Verdana" w:cs="Times New Roman"/>
          <w:b/>
          <w:bCs/>
          <w:szCs w:val="24"/>
          <w:lang w:eastAsia="en-GB"/>
        </w:rPr>
        <w:t xml:space="preserve"> </w:t>
      </w:r>
      <w:r w:rsidR="00B92CE0">
        <w:rPr>
          <w:rFonts w:ascii="Verdana" w:eastAsia="Times New Roman" w:hAnsi="Verdana" w:cs="Times New Roman"/>
          <w:b/>
          <w:bCs/>
          <w:szCs w:val="24"/>
          <w:lang w:eastAsia="en-GB"/>
        </w:rPr>
        <w:t>April</w:t>
      </w:r>
      <w:r w:rsidR="00985763" w:rsidRPr="00500763">
        <w:rPr>
          <w:rFonts w:ascii="Verdana" w:eastAsia="Times New Roman" w:hAnsi="Verdana" w:cs="Times New Roman"/>
          <w:b/>
          <w:bCs/>
          <w:szCs w:val="24"/>
          <w:lang w:eastAsia="en-GB"/>
        </w:rPr>
        <w:t xml:space="preserve"> </w:t>
      </w:r>
      <w:r w:rsidR="00B92CE0">
        <w:rPr>
          <w:rFonts w:ascii="Verdana" w:eastAsia="Times New Roman" w:hAnsi="Verdana" w:cs="Times New Roman"/>
          <w:b/>
          <w:szCs w:val="24"/>
          <w:lang w:eastAsia="en-GB"/>
        </w:rPr>
        <w:t>2021</w:t>
      </w:r>
      <w:r w:rsidRPr="00500763">
        <w:rPr>
          <w:rFonts w:ascii="Verdana" w:eastAsia="Times New Roman" w:hAnsi="Verdana" w:cs="Times New Roman"/>
          <w:b/>
          <w:szCs w:val="24"/>
          <w:lang w:eastAsia="en-GB"/>
        </w:rPr>
        <w:t xml:space="preserve"> at 16:00</w:t>
      </w:r>
    </w:p>
    <w:p w14:paraId="797FDB8F" w14:textId="1D63CCCF" w:rsidR="008A3E88" w:rsidRDefault="00237AA7" w:rsidP="00292F5E">
      <w:pPr>
        <w:autoSpaceDE w:val="0"/>
        <w:autoSpaceDN w:val="0"/>
        <w:adjustRightInd w:val="0"/>
        <w:spacing w:after="60" w:line="240" w:lineRule="auto"/>
        <w:rPr>
          <w:rFonts w:ascii="Verdana" w:hAnsi="Verdana" w:cs="Verdana"/>
          <w:color w:val="000000"/>
        </w:rPr>
      </w:pPr>
      <w:r w:rsidRPr="00693CE1">
        <w:rPr>
          <w:rFonts w:ascii="Verdana" w:hAnsi="Verdana" w:cs="Verdana"/>
          <w:color w:val="000000"/>
        </w:rPr>
        <w:t xml:space="preserve">Applicants should note that, unless </w:t>
      </w:r>
      <w:r w:rsidR="00580C03" w:rsidRPr="00693CE1">
        <w:rPr>
          <w:rFonts w:ascii="Verdana" w:hAnsi="Verdana" w:cs="Verdana"/>
          <w:color w:val="000000"/>
        </w:rPr>
        <w:t>otherwise specified</w:t>
      </w:r>
      <w:r w:rsidRPr="00693CE1">
        <w:rPr>
          <w:rFonts w:ascii="Verdana" w:hAnsi="Verdana" w:cs="Verdana"/>
          <w:color w:val="000000"/>
        </w:rPr>
        <w:t>, standard guidance for completion of EPSRC proposals applies</w:t>
      </w:r>
      <w:r w:rsidR="008A3E88">
        <w:rPr>
          <w:rFonts w:ascii="Verdana" w:hAnsi="Verdana" w:cs="Verdana"/>
          <w:color w:val="000000"/>
        </w:rPr>
        <w:t>.</w:t>
      </w:r>
    </w:p>
    <w:p w14:paraId="364B026E" w14:textId="6C9E5A61" w:rsidR="00813D11" w:rsidRDefault="001B54EF" w:rsidP="00292F5E">
      <w:pPr>
        <w:autoSpaceDE w:val="0"/>
        <w:autoSpaceDN w:val="0"/>
        <w:adjustRightInd w:val="0"/>
        <w:spacing w:after="60" w:line="240" w:lineRule="auto"/>
        <w:rPr>
          <w:rFonts w:ascii="Verdana" w:hAnsi="Verdana"/>
        </w:rPr>
      </w:pPr>
      <w:hyperlink r:id="rId13" w:history="1">
        <w:r w:rsidR="008A3E88" w:rsidRPr="00823982">
          <w:rPr>
            <w:rStyle w:val="Hyperlink"/>
            <w:rFonts w:ascii="Verdana" w:hAnsi="Verdana"/>
          </w:rPr>
          <w:t>https://epsrc.ukri.org/funding/applicationprocess/fundingguide/</w:t>
        </w:r>
      </w:hyperlink>
    </w:p>
    <w:p w14:paraId="0DC3EBA5" w14:textId="77777777" w:rsidR="008A3E88" w:rsidRPr="008A3E88" w:rsidRDefault="008A3E88" w:rsidP="00292F5E">
      <w:pPr>
        <w:autoSpaceDE w:val="0"/>
        <w:autoSpaceDN w:val="0"/>
        <w:adjustRightInd w:val="0"/>
        <w:spacing w:after="60" w:line="240" w:lineRule="auto"/>
        <w:rPr>
          <w:rFonts w:ascii="Verdana" w:hAnsi="Verdana"/>
          <w:color w:val="0000FF" w:themeColor="hyperlink"/>
          <w:u w:val="single"/>
        </w:rPr>
      </w:pPr>
    </w:p>
    <w:p w14:paraId="4F434A28" w14:textId="77777777" w:rsidR="008A3E88" w:rsidRDefault="00237AA7" w:rsidP="00292F5E">
      <w:pPr>
        <w:spacing w:after="60" w:line="240" w:lineRule="auto"/>
        <w:rPr>
          <w:rFonts w:ascii="Verdana" w:hAnsi="Verdana" w:cs="Verdana"/>
          <w:color w:val="000000"/>
        </w:rPr>
      </w:pPr>
      <w:r w:rsidRPr="00693CE1">
        <w:rPr>
          <w:rFonts w:ascii="Verdana" w:hAnsi="Verdana" w:cs="Verdana"/>
          <w:color w:val="000000"/>
        </w:rPr>
        <w:t>All documentation should be submitted as</w:t>
      </w:r>
      <w:r w:rsidR="00B87123">
        <w:rPr>
          <w:rFonts w:ascii="Verdana" w:hAnsi="Verdana" w:cs="Verdana"/>
          <w:color w:val="000000"/>
        </w:rPr>
        <w:t xml:space="preserve"> </w:t>
      </w:r>
      <w:r w:rsidRPr="00693CE1">
        <w:rPr>
          <w:rFonts w:ascii="Verdana" w:hAnsi="Verdana" w:cs="Verdana"/>
          <w:color w:val="000000"/>
        </w:rPr>
        <w:t xml:space="preserve">pdf </w:t>
      </w:r>
      <w:r w:rsidR="00BA5D17">
        <w:rPr>
          <w:rFonts w:ascii="Verdana" w:hAnsi="Verdana" w:cs="Verdana"/>
          <w:color w:val="000000"/>
        </w:rPr>
        <w:t xml:space="preserve">documents </w:t>
      </w:r>
      <w:r w:rsidR="00C64880" w:rsidRPr="00693CE1">
        <w:rPr>
          <w:rFonts w:ascii="Verdana" w:hAnsi="Verdana" w:cs="Verdana"/>
          <w:color w:val="000000"/>
        </w:rPr>
        <w:t xml:space="preserve">to aid processing. </w:t>
      </w:r>
      <w:r w:rsidRPr="00693CE1">
        <w:rPr>
          <w:rFonts w:ascii="Verdana" w:hAnsi="Verdana" w:cs="Verdana"/>
          <w:color w:val="000000"/>
        </w:rPr>
        <w:t>A completed and approved technical assessment form should be submitted directly to</w:t>
      </w:r>
      <w:r w:rsidR="008A3E88">
        <w:rPr>
          <w:rFonts w:ascii="Verdana" w:hAnsi="Verdana" w:cs="Verdana"/>
          <w:color w:val="000000"/>
        </w:rPr>
        <w:t xml:space="preserve"> the service you wish to access</w:t>
      </w:r>
      <w:r w:rsidRPr="00693CE1">
        <w:rPr>
          <w:rFonts w:ascii="Verdana" w:hAnsi="Verdana" w:cs="Verdana"/>
          <w:color w:val="000000"/>
        </w:rPr>
        <w:t xml:space="preserve"> as a separate document prior to the technical assessment deadline</w:t>
      </w:r>
      <w:r w:rsidR="008A3E88">
        <w:rPr>
          <w:rFonts w:ascii="Verdana" w:hAnsi="Verdana" w:cs="Verdana"/>
          <w:color w:val="000000"/>
        </w:rPr>
        <w:t xml:space="preserve"> (contact details can be found in appendix 1 in the Access to High Performance Computing call document)</w:t>
      </w:r>
      <w:r w:rsidR="00506D87" w:rsidRPr="00693CE1">
        <w:rPr>
          <w:rFonts w:ascii="Verdana" w:hAnsi="Verdana" w:cs="Verdana"/>
          <w:color w:val="000000"/>
        </w:rPr>
        <w:t>.</w:t>
      </w:r>
      <w:r w:rsidR="00C332DF" w:rsidRPr="00693CE1">
        <w:rPr>
          <w:rFonts w:ascii="Verdana" w:hAnsi="Verdana" w:cs="Verdana"/>
          <w:color w:val="000000"/>
        </w:rPr>
        <w:t xml:space="preserve"> </w:t>
      </w:r>
    </w:p>
    <w:p w14:paraId="5E4C4B3B" w14:textId="77777777" w:rsidR="008A3E88" w:rsidRDefault="008A3E88" w:rsidP="00292F5E">
      <w:pPr>
        <w:spacing w:after="60" w:line="240" w:lineRule="auto"/>
        <w:rPr>
          <w:rFonts w:ascii="Verdana" w:hAnsi="Verdana" w:cs="Verdana"/>
          <w:color w:val="000000"/>
        </w:rPr>
      </w:pPr>
    </w:p>
    <w:p w14:paraId="05FB90F2" w14:textId="795080DB" w:rsidR="00B92CE0" w:rsidRDefault="00C332DF" w:rsidP="00292F5E">
      <w:pPr>
        <w:spacing w:after="60" w:line="240" w:lineRule="auto"/>
        <w:rPr>
          <w:rFonts w:ascii="Verdana" w:hAnsi="Verdana" w:cs="Arial"/>
          <w:b/>
        </w:rPr>
      </w:pPr>
      <w:r w:rsidRPr="00693CE1">
        <w:rPr>
          <w:rFonts w:ascii="Verdana" w:hAnsi="Verdana" w:cs="Arial"/>
        </w:rPr>
        <w:t>Provided the technical assessment endorses the proposal,</w:t>
      </w:r>
      <w:r w:rsidRPr="00693CE1">
        <w:rPr>
          <w:rFonts w:ascii="Verdana" w:hAnsi="Verdana" w:cs="Arial"/>
          <w:b/>
        </w:rPr>
        <w:t xml:space="preserve"> applications should be </w:t>
      </w:r>
      <w:r w:rsidR="008A3E88">
        <w:rPr>
          <w:rFonts w:ascii="Verdana" w:hAnsi="Verdana" w:cs="Arial"/>
          <w:b/>
        </w:rPr>
        <w:t>submitted via smartsurvey</w:t>
      </w:r>
      <w:r w:rsidR="00500763">
        <w:rPr>
          <w:rFonts w:ascii="Verdana" w:hAnsi="Verdana" w:cs="Arial"/>
          <w:b/>
        </w:rPr>
        <w:t xml:space="preserve"> </w:t>
      </w:r>
      <w:r w:rsidR="00B92CE0">
        <w:rPr>
          <w:rFonts w:ascii="Verdana" w:hAnsi="Verdana" w:cs="Arial"/>
          <w:b/>
        </w:rPr>
        <w:t>(</w:t>
      </w:r>
      <w:hyperlink r:id="rId14" w:history="1">
        <w:r w:rsidR="00B92CE0" w:rsidRPr="00FF4521">
          <w:rPr>
            <w:rStyle w:val="Hyperlink"/>
            <w:rFonts w:ascii="Verdana" w:eastAsia="Calibri" w:hAnsi="Verdana"/>
          </w:rPr>
          <w:t>https://www.smartsurvey.co.uk/s/1GBOOJ/</w:t>
        </w:r>
      </w:hyperlink>
      <w:r w:rsidR="00B92CE0">
        <w:rPr>
          <w:rStyle w:val="Hyperlink"/>
          <w:rFonts w:ascii="Verdana" w:eastAsia="Calibri" w:hAnsi="Verdana"/>
        </w:rPr>
        <w:t>)</w:t>
      </w:r>
    </w:p>
    <w:p w14:paraId="364B026F" w14:textId="610B34F5" w:rsidR="0036553F" w:rsidRDefault="008A3E88" w:rsidP="00292F5E">
      <w:pPr>
        <w:spacing w:after="60" w:line="240" w:lineRule="auto"/>
        <w:rPr>
          <w:rFonts w:ascii="Verdana" w:hAnsi="Verdana" w:cs="Arial"/>
          <w:b/>
        </w:rPr>
      </w:pPr>
      <w:r>
        <w:rPr>
          <w:rFonts w:ascii="Verdana" w:hAnsi="Verdana" w:cs="Arial"/>
          <w:b/>
        </w:rPr>
        <w:t>including the completed technical</w:t>
      </w:r>
      <w:r w:rsidR="00FD70AA">
        <w:rPr>
          <w:rFonts w:ascii="Arial" w:eastAsia="Times New Roman" w:hAnsi="Arial" w:cs="Arial"/>
          <w:sz w:val="17"/>
          <w:szCs w:val="17"/>
        </w:rPr>
        <w:t xml:space="preserve"> </w:t>
      </w:r>
      <w:r w:rsidR="00C332DF" w:rsidRPr="00693CE1">
        <w:rPr>
          <w:rFonts w:ascii="Verdana" w:hAnsi="Verdana" w:cs="Arial"/>
          <w:b/>
        </w:rPr>
        <w:t>before the call deadline.</w:t>
      </w:r>
    </w:p>
    <w:p w14:paraId="2703FBF6" w14:textId="77777777" w:rsidR="008A3E88" w:rsidRPr="00693CE1" w:rsidRDefault="008A3E88" w:rsidP="00292F5E">
      <w:pPr>
        <w:spacing w:after="60" w:line="240" w:lineRule="auto"/>
        <w:rPr>
          <w:rFonts w:ascii="Verdana" w:hAnsi="Verdana" w:cs="Arial"/>
          <w:b/>
        </w:rPr>
      </w:pPr>
    </w:p>
    <w:p w14:paraId="364B0271" w14:textId="1FE2A879" w:rsidR="00822E67" w:rsidRPr="00693CE1" w:rsidRDefault="00822E67" w:rsidP="00591597">
      <w:pPr>
        <w:spacing w:after="360" w:line="240" w:lineRule="auto"/>
        <w:rPr>
          <w:rFonts w:ascii="Verdana" w:hAnsi="Verdana"/>
          <w:b/>
        </w:rPr>
      </w:pPr>
      <w:r w:rsidRPr="00693CE1">
        <w:rPr>
          <w:rFonts w:ascii="Verdana" w:hAnsi="Verdana"/>
          <w:b/>
        </w:rPr>
        <w:t>Please refer to the appropriate call document for more information on how to fill out the application form.</w:t>
      </w:r>
    </w:p>
    <w:tbl>
      <w:tblPr>
        <w:tblStyle w:val="TableGrid"/>
        <w:tblW w:w="0" w:type="auto"/>
        <w:tblLook w:val="04A0" w:firstRow="1" w:lastRow="0" w:firstColumn="1" w:lastColumn="0" w:noHBand="0" w:noVBand="1"/>
      </w:tblPr>
      <w:tblGrid>
        <w:gridCol w:w="2802"/>
        <w:gridCol w:w="6440"/>
      </w:tblGrid>
      <w:tr w:rsidR="004F7295" w:rsidRPr="00693CE1" w14:paraId="364B0274" w14:textId="77777777" w:rsidTr="004F7295">
        <w:trPr>
          <w:trHeight w:val="851"/>
        </w:trPr>
        <w:tc>
          <w:tcPr>
            <w:tcW w:w="2802" w:type="dxa"/>
            <w:vAlign w:val="center"/>
          </w:tcPr>
          <w:p w14:paraId="364B0272" w14:textId="34C82BD9" w:rsidR="004F7295" w:rsidRPr="008A3E88" w:rsidRDefault="004F7295" w:rsidP="00237AA7">
            <w:pPr>
              <w:spacing w:after="120"/>
              <w:rPr>
                <w:rFonts w:ascii="Verdana" w:hAnsi="Verdana"/>
                <w:bCs/>
              </w:rPr>
            </w:pPr>
            <w:r w:rsidRPr="008A3E88">
              <w:rPr>
                <w:rFonts w:ascii="Verdana" w:hAnsi="Verdana"/>
                <w:bCs/>
              </w:rPr>
              <w:t>Organisation</w:t>
            </w:r>
            <w:r w:rsidR="008A3E88">
              <w:rPr>
                <w:rFonts w:ascii="Verdana" w:hAnsi="Verdana"/>
                <w:bCs/>
              </w:rPr>
              <w:t>:</w:t>
            </w:r>
          </w:p>
        </w:tc>
        <w:tc>
          <w:tcPr>
            <w:tcW w:w="6440" w:type="dxa"/>
            <w:vAlign w:val="center"/>
          </w:tcPr>
          <w:p w14:paraId="364B0273" w14:textId="769CEDC8" w:rsidR="004F7295" w:rsidRPr="00693CE1" w:rsidRDefault="00F77150" w:rsidP="00237AA7">
            <w:pPr>
              <w:spacing w:after="120"/>
              <w:rPr>
                <w:rFonts w:ascii="Verdana" w:hAnsi="Verdana"/>
                <w:b/>
              </w:rPr>
            </w:pPr>
            <w:r>
              <w:rPr>
                <w:rFonts w:ascii="Verdana" w:hAnsi="Verdana"/>
                <w:b/>
              </w:rPr>
              <w:t>University of Edinburgh</w:t>
            </w:r>
          </w:p>
        </w:tc>
      </w:tr>
      <w:tr w:rsidR="004F7295" w:rsidRPr="00693CE1" w14:paraId="364B0277" w14:textId="77777777" w:rsidTr="004F7295">
        <w:trPr>
          <w:trHeight w:val="851"/>
        </w:trPr>
        <w:tc>
          <w:tcPr>
            <w:tcW w:w="2802" w:type="dxa"/>
            <w:vAlign w:val="center"/>
          </w:tcPr>
          <w:p w14:paraId="364B0275" w14:textId="7E46E9F6" w:rsidR="004F7295" w:rsidRPr="00693CE1" w:rsidRDefault="004F7295" w:rsidP="00237AA7">
            <w:pPr>
              <w:spacing w:after="120"/>
              <w:rPr>
                <w:rFonts w:ascii="Verdana" w:hAnsi="Verdana"/>
              </w:rPr>
            </w:pPr>
            <w:r w:rsidRPr="00693CE1">
              <w:rPr>
                <w:rFonts w:ascii="Verdana" w:hAnsi="Verdana"/>
              </w:rPr>
              <w:t>Division or depar</w:t>
            </w:r>
            <w:r w:rsidRPr="00693CE1">
              <w:rPr>
                <w:rFonts w:ascii="Verdana" w:hAnsi="Verdana"/>
              </w:rPr>
              <w:t>t</w:t>
            </w:r>
            <w:r w:rsidRPr="00693CE1">
              <w:rPr>
                <w:rFonts w:ascii="Verdana" w:hAnsi="Verdana"/>
              </w:rPr>
              <w:t>ment</w:t>
            </w:r>
            <w:r w:rsidR="008A3E88">
              <w:rPr>
                <w:rFonts w:ascii="Verdana" w:hAnsi="Verdana"/>
              </w:rPr>
              <w:t>:</w:t>
            </w:r>
          </w:p>
        </w:tc>
        <w:tc>
          <w:tcPr>
            <w:tcW w:w="6440" w:type="dxa"/>
            <w:vAlign w:val="center"/>
          </w:tcPr>
          <w:p w14:paraId="364B0276" w14:textId="1905E75F" w:rsidR="004F7295" w:rsidRPr="00693CE1" w:rsidRDefault="00F77150" w:rsidP="00237AA7">
            <w:pPr>
              <w:spacing w:after="120"/>
              <w:rPr>
                <w:rFonts w:ascii="Verdana" w:hAnsi="Verdana"/>
                <w:b/>
              </w:rPr>
            </w:pPr>
            <w:r>
              <w:rPr>
                <w:rFonts w:ascii="Verdana" w:hAnsi="Verdana"/>
                <w:b/>
              </w:rPr>
              <w:t>School of Informatics</w:t>
            </w:r>
          </w:p>
        </w:tc>
      </w:tr>
    </w:tbl>
    <w:p w14:paraId="364B0278" w14:textId="77777777" w:rsidR="004F7295" w:rsidRPr="00693CE1" w:rsidRDefault="004F7295" w:rsidP="00237AA7">
      <w:pPr>
        <w:spacing w:after="120" w:line="240" w:lineRule="auto"/>
        <w:rPr>
          <w:rFonts w:ascii="Verdana" w:hAnsi="Verdana"/>
          <w:b/>
        </w:rPr>
      </w:pPr>
    </w:p>
    <w:p w14:paraId="364B0279" w14:textId="77777777" w:rsidR="00AD7AEA" w:rsidRPr="00693CE1" w:rsidRDefault="00AD7AEA" w:rsidP="00237AA7">
      <w:pPr>
        <w:spacing w:after="120" w:line="240" w:lineRule="auto"/>
        <w:rPr>
          <w:rFonts w:ascii="Verdana" w:hAnsi="Verdana"/>
          <w:b/>
        </w:rPr>
      </w:pPr>
      <w:r w:rsidRPr="00693CE1">
        <w:rPr>
          <w:rFonts w:ascii="Verdana" w:hAnsi="Verdana"/>
          <w:b/>
        </w:rPr>
        <w:t>Project Title</w:t>
      </w:r>
    </w:p>
    <w:tbl>
      <w:tblPr>
        <w:tblStyle w:val="TableGrid"/>
        <w:tblW w:w="0" w:type="auto"/>
        <w:tblLook w:val="04A0" w:firstRow="1" w:lastRow="0" w:firstColumn="1" w:lastColumn="0" w:noHBand="0" w:noVBand="1"/>
      </w:tblPr>
      <w:tblGrid>
        <w:gridCol w:w="9242"/>
      </w:tblGrid>
      <w:tr w:rsidR="00AD7AEA" w:rsidRPr="00693CE1" w14:paraId="364B027B" w14:textId="77777777" w:rsidTr="00207BEC">
        <w:trPr>
          <w:trHeight w:val="851"/>
        </w:trPr>
        <w:tc>
          <w:tcPr>
            <w:tcW w:w="9242" w:type="dxa"/>
            <w:vAlign w:val="center"/>
          </w:tcPr>
          <w:p w14:paraId="364B027A" w14:textId="7E3DB448" w:rsidR="00AD7AEA" w:rsidRPr="00693CE1" w:rsidRDefault="00AD7AEA" w:rsidP="00207BEC">
            <w:pPr>
              <w:spacing w:after="120"/>
              <w:rPr>
                <w:rFonts w:ascii="Verdana" w:hAnsi="Verdana"/>
                <w:b/>
              </w:rPr>
            </w:pPr>
            <w:r w:rsidRPr="00693CE1">
              <w:rPr>
                <w:rFonts w:ascii="Verdana" w:hAnsi="Verdana"/>
                <w:b/>
              </w:rPr>
              <w:tab/>
            </w:r>
            <w:r w:rsidR="00207BEC" w:rsidRPr="00207BEC">
              <w:rPr>
                <w:rFonts w:ascii="Verdana" w:hAnsi="Verdana"/>
                <w:b/>
              </w:rPr>
              <w:t>LURID: Longitudinal study of URI deployment</w:t>
            </w:r>
          </w:p>
        </w:tc>
      </w:tr>
    </w:tbl>
    <w:p w14:paraId="364B027C" w14:textId="77777777" w:rsidR="00AD7AEA" w:rsidRPr="00693CE1" w:rsidRDefault="00AD7AEA" w:rsidP="00237AA7">
      <w:pPr>
        <w:spacing w:after="120" w:line="240" w:lineRule="auto"/>
        <w:rPr>
          <w:rFonts w:ascii="Verdana" w:hAnsi="Verdana"/>
          <w:b/>
        </w:rPr>
      </w:pPr>
    </w:p>
    <w:p w14:paraId="7AE61C7B" w14:textId="77777777" w:rsidR="008A3E88" w:rsidRDefault="008720BC" w:rsidP="00153BA9">
      <w:pPr>
        <w:spacing w:after="120" w:line="240" w:lineRule="auto"/>
        <w:rPr>
          <w:rFonts w:ascii="Verdana" w:hAnsi="Verdana"/>
          <w:b/>
        </w:rPr>
      </w:pPr>
      <w:r w:rsidRPr="00693CE1">
        <w:rPr>
          <w:rFonts w:ascii="Verdana" w:hAnsi="Verdana"/>
          <w:b/>
        </w:rPr>
        <w:t>Start Date and D</w:t>
      </w:r>
      <w:r w:rsidR="00AD7AEA" w:rsidRPr="00693CE1">
        <w:rPr>
          <w:rFonts w:ascii="Verdana" w:hAnsi="Verdana"/>
          <w:b/>
        </w:rPr>
        <w:t>uration</w:t>
      </w:r>
      <w:r w:rsidR="008A3E88">
        <w:rPr>
          <w:rFonts w:ascii="Verdana" w:hAnsi="Verdana"/>
          <w:b/>
        </w:rPr>
        <w:t xml:space="preserve"> </w:t>
      </w:r>
    </w:p>
    <w:p w14:paraId="364B027D" w14:textId="70FD273A" w:rsidR="00153BA9" w:rsidRPr="00693CE1" w:rsidRDefault="008A3E88" w:rsidP="00153BA9">
      <w:pPr>
        <w:spacing w:after="120" w:line="240" w:lineRule="auto"/>
        <w:rPr>
          <w:rFonts w:ascii="Verdana" w:hAnsi="Verdana"/>
          <w:b/>
        </w:rPr>
      </w:pPr>
      <w:r>
        <w:rPr>
          <w:rFonts w:ascii="Verdana" w:hAnsi="Verdana"/>
        </w:rPr>
        <w:t>See service specific restrictions in Appendix 1 of the Access to HPC call doc</w:t>
      </w:r>
      <w:r>
        <w:rPr>
          <w:rFonts w:ascii="Verdana" w:hAnsi="Verdana"/>
        </w:rPr>
        <w:t>u</w:t>
      </w:r>
      <w:r>
        <w:rPr>
          <w:rFonts w:ascii="Verdana" w:hAnsi="Verdana"/>
        </w:rPr>
        <w:t>ment.</w:t>
      </w:r>
    </w:p>
    <w:tbl>
      <w:tblPr>
        <w:tblStyle w:val="TableGrid"/>
        <w:tblW w:w="0" w:type="auto"/>
        <w:tblLook w:val="04A0" w:firstRow="1" w:lastRow="0" w:firstColumn="1" w:lastColumn="0" w:noHBand="0" w:noVBand="1"/>
      </w:tblPr>
      <w:tblGrid>
        <w:gridCol w:w="4508"/>
        <w:gridCol w:w="4508"/>
      </w:tblGrid>
      <w:tr w:rsidR="008A3E88" w14:paraId="6E9AB5BB" w14:textId="77777777" w:rsidTr="008A3E88">
        <w:tc>
          <w:tcPr>
            <w:tcW w:w="4508" w:type="dxa"/>
          </w:tcPr>
          <w:p w14:paraId="7065D10A" w14:textId="39D6EBC0" w:rsidR="008A3E88" w:rsidRPr="008A3E88" w:rsidRDefault="008A3E88" w:rsidP="008A3E88">
            <w:pPr>
              <w:tabs>
                <w:tab w:val="left" w:pos="1035"/>
              </w:tabs>
              <w:spacing w:after="120"/>
              <w:jc w:val="center"/>
              <w:rPr>
                <w:rFonts w:ascii="Verdana" w:hAnsi="Verdana"/>
              </w:rPr>
            </w:pPr>
            <w:r w:rsidRPr="008A3E88">
              <w:rPr>
                <w:rFonts w:ascii="Verdana" w:hAnsi="Verdana"/>
              </w:rPr>
              <w:t>Proposed start date</w:t>
            </w:r>
            <w:r>
              <w:rPr>
                <w:rFonts w:ascii="Verdana" w:hAnsi="Verdana"/>
              </w:rPr>
              <w:t>:</w:t>
            </w:r>
          </w:p>
        </w:tc>
        <w:tc>
          <w:tcPr>
            <w:tcW w:w="4508" w:type="dxa"/>
          </w:tcPr>
          <w:p w14:paraId="0D115FF3" w14:textId="32F69805" w:rsidR="008A3E88" w:rsidRDefault="00207BEC" w:rsidP="008A3E88">
            <w:pPr>
              <w:tabs>
                <w:tab w:val="left" w:pos="1035"/>
              </w:tabs>
              <w:spacing w:after="120"/>
              <w:jc w:val="center"/>
              <w:rPr>
                <w:rFonts w:ascii="Verdana" w:hAnsi="Verdana"/>
              </w:rPr>
            </w:pPr>
            <w:r>
              <w:rPr>
                <w:rFonts w:ascii="Verdana" w:hAnsi="Verdana"/>
              </w:rPr>
              <w:t>1 September 2021</w:t>
            </w:r>
          </w:p>
        </w:tc>
      </w:tr>
      <w:tr w:rsidR="008A3E88" w14:paraId="73599FE2" w14:textId="77777777" w:rsidTr="008A3E88">
        <w:tc>
          <w:tcPr>
            <w:tcW w:w="4508" w:type="dxa"/>
          </w:tcPr>
          <w:p w14:paraId="403AB993" w14:textId="170BEA49" w:rsidR="008A3E88" w:rsidRDefault="008A3E88" w:rsidP="008A3E88">
            <w:pPr>
              <w:tabs>
                <w:tab w:val="left" w:pos="1035"/>
              </w:tabs>
              <w:spacing w:after="120"/>
              <w:jc w:val="center"/>
              <w:rPr>
                <w:rFonts w:ascii="Verdana" w:hAnsi="Verdana"/>
              </w:rPr>
            </w:pPr>
            <w:r>
              <w:rPr>
                <w:rFonts w:ascii="Verdana" w:hAnsi="Verdana"/>
              </w:rPr>
              <w:t>Project duration</w:t>
            </w:r>
            <w:r w:rsidR="00326E5F">
              <w:rPr>
                <w:rFonts w:ascii="Verdana" w:hAnsi="Verdana"/>
              </w:rPr>
              <w:t>:</w:t>
            </w:r>
          </w:p>
        </w:tc>
        <w:tc>
          <w:tcPr>
            <w:tcW w:w="4508" w:type="dxa"/>
          </w:tcPr>
          <w:p w14:paraId="27EE12F2" w14:textId="3932B987" w:rsidR="008A3E88" w:rsidRDefault="00207BEC" w:rsidP="008A3E88">
            <w:pPr>
              <w:tabs>
                <w:tab w:val="left" w:pos="1035"/>
              </w:tabs>
              <w:spacing w:after="120"/>
              <w:jc w:val="center"/>
              <w:rPr>
                <w:rFonts w:ascii="Verdana" w:hAnsi="Verdana"/>
              </w:rPr>
            </w:pPr>
            <w:r>
              <w:rPr>
                <w:rFonts w:ascii="Verdana" w:hAnsi="Verdana"/>
              </w:rPr>
              <w:t>1 year</w:t>
            </w:r>
          </w:p>
        </w:tc>
      </w:tr>
    </w:tbl>
    <w:p w14:paraId="364B0282" w14:textId="100A176E" w:rsidR="00AD7AEA" w:rsidRPr="00693CE1" w:rsidRDefault="00AD7AEA" w:rsidP="00AD7AEA">
      <w:pPr>
        <w:tabs>
          <w:tab w:val="left" w:pos="1035"/>
        </w:tabs>
        <w:spacing w:after="120"/>
        <w:rPr>
          <w:rFonts w:ascii="Verdana" w:hAnsi="Verdana"/>
          <w:b/>
        </w:rPr>
      </w:pPr>
      <w:r w:rsidRPr="00693CE1">
        <w:rPr>
          <w:rFonts w:ascii="Verdana" w:hAnsi="Verdana"/>
          <w:b/>
        </w:rPr>
        <w:tab/>
      </w:r>
    </w:p>
    <w:p w14:paraId="364B0283" w14:textId="77777777" w:rsidR="00292F5E" w:rsidRPr="00693CE1" w:rsidRDefault="00292F5E">
      <w:pPr>
        <w:rPr>
          <w:rFonts w:ascii="Verdana" w:hAnsi="Verdana"/>
          <w:b/>
        </w:rPr>
      </w:pPr>
      <w:r w:rsidRPr="00693CE1">
        <w:rPr>
          <w:rFonts w:ascii="Verdana" w:hAnsi="Verdana"/>
          <w:b/>
        </w:rPr>
        <w:t>Requested resource</w:t>
      </w:r>
    </w:p>
    <w:tbl>
      <w:tblPr>
        <w:tblStyle w:val="TableGrid"/>
        <w:tblW w:w="0" w:type="auto"/>
        <w:tblLook w:val="04A0" w:firstRow="1" w:lastRow="0" w:firstColumn="1" w:lastColumn="0" w:noHBand="0" w:noVBand="1"/>
      </w:tblPr>
      <w:tblGrid>
        <w:gridCol w:w="2752"/>
        <w:gridCol w:w="6264"/>
      </w:tblGrid>
      <w:tr w:rsidR="00292F5E" w:rsidRPr="00693CE1" w14:paraId="364B0286" w14:textId="77777777" w:rsidTr="008A3E88">
        <w:trPr>
          <w:trHeight w:val="851"/>
        </w:trPr>
        <w:tc>
          <w:tcPr>
            <w:tcW w:w="2752" w:type="dxa"/>
            <w:vAlign w:val="center"/>
          </w:tcPr>
          <w:p w14:paraId="364B0284" w14:textId="255BD2C9" w:rsidR="00292F5E" w:rsidRPr="00693CE1" w:rsidRDefault="00036BFE" w:rsidP="001B54EF">
            <w:pPr>
              <w:spacing w:after="120"/>
              <w:rPr>
                <w:rFonts w:ascii="Verdana" w:hAnsi="Verdana"/>
              </w:rPr>
            </w:pPr>
            <w:r>
              <w:rPr>
                <w:rFonts w:ascii="Verdana" w:hAnsi="Verdana"/>
              </w:rPr>
              <w:lastRenderedPageBreak/>
              <w:t>Service you are appl</w:t>
            </w:r>
            <w:r>
              <w:rPr>
                <w:rFonts w:ascii="Verdana" w:hAnsi="Verdana"/>
              </w:rPr>
              <w:t>y</w:t>
            </w:r>
            <w:r>
              <w:rPr>
                <w:rFonts w:ascii="Verdana" w:hAnsi="Verdana"/>
              </w:rPr>
              <w:t>ing to:</w:t>
            </w:r>
          </w:p>
        </w:tc>
        <w:tc>
          <w:tcPr>
            <w:tcW w:w="6264" w:type="dxa"/>
            <w:vAlign w:val="center"/>
          </w:tcPr>
          <w:p w14:paraId="364B0285" w14:textId="434B00FD" w:rsidR="00292F5E" w:rsidRPr="00693CE1" w:rsidRDefault="00207BEC" w:rsidP="001B54EF">
            <w:pPr>
              <w:spacing w:after="120"/>
              <w:rPr>
                <w:rFonts w:ascii="Verdana" w:hAnsi="Verdana"/>
                <w:b/>
              </w:rPr>
            </w:pPr>
            <w:r>
              <w:rPr>
                <w:rFonts w:ascii="Verdana" w:hAnsi="Verdana"/>
                <w:b/>
              </w:rPr>
              <w:t>Cirrus</w:t>
            </w:r>
          </w:p>
        </w:tc>
      </w:tr>
      <w:tr w:rsidR="00036BFE" w:rsidRPr="00693CE1" w14:paraId="620FA69E" w14:textId="77777777" w:rsidTr="008A3E88">
        <w:trPr>
          <w:trHeight w:val="851"/>
        </w:trPr>
        <w:tc>
          <w:tcPr>
            <w:tcW w:w="2752" w:type="dxa"/>
            <w:vAlign w:val="center"/>
          </w:tcPr>
          <w:p w14:paraId="08041452" w14:textId="5184F216" w:rsidR="00036BFE" w:rsidRDefault="00036BFE" w:rsidP="001B54EF">
            <w:pPr>
              <w:spacing w:after="120"/>
              <w:rPr>
                <w:rFonts w:ascii="Verdana" w:hAnsi="Verdana"/>
              </w:rPr>
            </w:pPr>
            <w:r>
              <w:rPr>
                <w:rFonts w:ascii="Verdana" w:hAnsi="Verdana"/>
              </w:rPr>
              <w:t>Units requested (e.g. CU, core hours, GPU hours)</w:t>
            </w:r>
          </w:p>
        </w:tc>
        <w:tc>
          <w:tcPr>
            <w:tcW w:w="6264" w:type="dxa"/>
            <w:vAlign w:val="center"/>
          </w:tcPr>
          <w:p w14:paraId="1F8C3D12" w14:textId="37DD2C0A" w:rsidR="00036BFE" w:rsidRPr="00693CE1" w:rsidRDefault="00207BEC" w:rsidP="001B54EF">
            <w:pPr>
              <w:spacing w:after="120"/>
              <w:rPr>
                <w:rFonts w:ascii="Verdana" w:hAnsi="Verdana"/>
                <w:b/>
              </w:rPr>
            </w:pPr>
            <w:r w:rsidRPr="00207BEC">
              <w:rPr>
                <w:rFonts w:ascii="Verdana" w:hAnsi="Verdana"/>
                <w:b/>
              </w:rPr>
              <w:t>360,000 CPU Hours</w:t>
            </w:r>
          </w:p>
        </w:tc>
      </w:tr>
    </w:tbl>
    <w:p w14:paraId="364B028A" w14:textId="58712D3B" w:rsidR="00AD7AEA" w:rsidRDefault="00326E5F" w:rsidP="00237AA7">
      <w:pPr>
        <w:spacing w:after="120" w:line="240" w:lineRule="auto"/>
        <w:rPr>
          <w:rFonts w:ascii="Verdana" w:hAnsi="Verdana"/>
          <w:b/>
        </w:rPr>
      </w:pPr>
      <w:r>
        <w:rPr>
          <w:rFonts w:ascii="Verdana" w:hAnsi="Verdana"/>
          <w:b/>
        </w:rPr>
        <w:br/>
      </w:r>
      <w:r w:rsidR="00F5347D" w:rsidRPr="00693CE1">
        <w:rPr>
          <w:rFonts w:ascii="Verdana" w:hAnsi="Verdana"/>
          <w:b/>
        </w:rPr>
        <w:t>Applicants</w:t>
      </w:r>
    </w:p>
    <w:tbl>
      <w:tblPr>
        <w:tblStyle w:val="TableGrid"/>
        <w:tblW w:w="0" w:type="auto"/>
        <w:tblLook w:val="04A0" w:firstRow="1" w:lastRow="0" w:firstColumn="1" w:lastColumn="0" w:noHBand="0" w:noVBand="1"/>
      </w:tblPr>
      <w:tblGrid>
        <w:gridCol w:w="1843"/>
        <w:gridCol w:w="7083"/>
      </w:tblGrid>
      <w:tr w:rsidR="00A86C65" w14:paraId="364B028E" w14:textId="77777777" w:rsidTr="00A86C65">
        <w:tc>
          <w:tcPr>
            <w:tcW w:w="1843" w:type="dxa"/>
          </w:tcPr>
          <w:p w14:paraId="364B028B" w14:textId="77777777" w:rsidR="00A86C65" w:rsidRDefault="00A86C65" w:rsidP="00237AA7">
            <w:pPr>
              <w:spacing w:after="120"/>
              <w:rPr>
                <w:rFonts w:ascii="Verdana" w:hAnsi="Verdana"/>
                <w:b/>
              </w:rPr>
            </w:pPr>
          </w:p>
        </w:tc>
        <w:tc>
          <w:tcPr>
            <w:tcW w:w="7083" w:type="dxa"/>
          </w:tcPr>
          <w:p w14:paraId="364B028C" w14:textId="77777777" w:rsidR="00A86C65" w:rsidRDefault="00A86C65" w:rsidP="00237AA7">
            <w:pPr>
              <w:spacing w:after="120"/>
              <w:rPr>
                <w:rFonts w:ascii="Verdana" w:hAnsi="Verdana"/>
                <w:b/>
              </w:rPr>
            </w:pPr>
            <w:r>
              <w:rPr>
                <w:rFonts w:ascii="Verdana" w:hAnsi="Verdana"/>
                <w:b/>
              </w:rPr>
              <w:t>Principle Investigator</w:t>
            </w:r>
          </w:p>
        </w:tc>
      </w:tr>
      <w:tr w:rsidR="00A86C65" w14:paraId="364B0292" w14:textId="77777777" w:rsidTr="00A86C65">
        <w:tc>
          <w:tcPr>
            <w:tcW w:w="1843" w:type="dxa"/>
          </w:tcPr>
          <w:p w14:paraId="364B028F" w14:textId="77777777" w:rsidR="00A86C65" w:rsidRDefault="00A86C65" w:rsidP="00237AA7">
            <w:pPr>
              <w:spacing w:after="120"/>
              <w:rPr>
                <w:rFonts w:ascii="Verdana" w:hAnsi="Verdana"/>
                <w:b/>
              </w:rPr>
            </w:pPr>
            <w:r>
              <w:rPr>
                <w:rFonts w:ascii="Verdana" w:hAnsi="Verdana"/>
                <w:b/>
              </w:rPr>
              <w:t>Title</w:t>
            </w:r>
          </w:p>
        </w:tc>
        <w:tc>
          <w:tcPr>
            <w:tcW w:w="7083" w:type="dxa"/>
          </w:tcPr>
          <w:p w14:paraId="364B0290" w14:textId="5E75542E" w:rsidR="00A86C65" w:rsidRDefault="00207BEC" w:rsidP="00237AA7">
            <w:pPr>
              <w:spacing w:after="120"/>
              <w:rPr>
                <w:rFonts w:ascii="Verdana" w:hAnsi="Verdana"/>
                <w:b/>
              </w:rPr>
            </w:pPr>
            <w:r>
              <w:rPr>
                <w:rFonts w:ascii="Verdana" w:hAnsi="Verdana"/>
                <w:b/>
              </w:rPr>
              <w:t>Professor</w:t>
            </w:r>
          </w:p>
        </w:tc>
      </w:tr>
      <w:tr w:rsidR="00A86C65" w14:paraId="364B0296" w14:textId="77777777" w:rsidTr="00A86C65">
        <w:tc>
          <w:tcPr>
            <w:tcW w:w="1843" w:type="dxa"/>
          </w:tcPr>
          <w:p w14:paraId="364B0293" w14:textId="6259ED3C" w:rsidR="00A86C65" w:rsidRDefault="00A86C65" w:rsidP="00237AA7">
            <w:pPr>
              <w:spacing w:after="120"/>
              <w:rPr>
                <w:rFonts w:ascii="Verdana" w:hAnsi="Verdana"/>
                <w:b/>
              </w:rPr>
            </w:pPr>
            <w:r>
              <w:rPr>
                <w:rFonts w:ascii="Verdana" w:hAnsi="Verdana"/>
                <w:b/>
              </w:rPr>
              <w:t>First Name</w:t>
            </w:r>
          </w:p>
        </w:tc>
        <w:tc>
          <w:tcPr>
            <w:tcW w:w="7083" w:type="dxa"/>
          </w:tcPr>
          <w:p w14:paraId="364B0294" w14:textId="44675079" w:rsidR="00A86C65" w:rsidRDefault="00207BEC" w:rsidP="00237AA7">
            <w:pPr>
              <w:spacing w:after="120"/>
              <w:rPr>
                <w:rFonts w:ascii="Verdana" w:hAnsi="Verdana"/>
                <w:b/>
              </w:rPr>
            </w:pPr>
            <w:r>
              <w:rPr>
                <w:rFonts w:ascii="Verdana" w:hAnsi="Verdana"/>
                <w:b/>
              </w:rPr>
              <w:t>Henry S</w:t>
            </w:r>
          </w:p>
        </w:tc>
      </w:tr>
      <w:tr w:rsidR="00A86C65" w14:paraId="364B029A" w14:textId="77777777" w:rsidTr="00A86C65">
        <w:tc>
          <w:tcPr>
            <w:tcW w:w="1843" w:type="dxa"/>
          </w:tcPr>
          <w:p w14:paraId="364B0297" w14:textId="69E2A865" w:rsidR="00A86C65" w:rsidRDefault="00A86C65" w:rsidP="00237AA7">
            <w:pPr>
              <w:spacing w:after="120"/>
              <w:rPr>
                <w:rFonts w:ascii="Verdana" w:hAnsi="Verdana"/>
                <w:b/>
              </w:rPr>
            </w:pPr>
            <w:r>
              <w:rPr>
                <w:rFonts w:ascii="Verdana" w:hAnsi="Verdana"/>
                <w:b/>
              </w:rPr>
              <w:t>Last Name</w:t>
            </w:r>
          </w:p>
        </w:tc>
        <w:tc>
          <w:tcPr>
            <w:tcW w:w="7083" w:type="dxa"/>
          </w:tcPr>
          <w:p w14:paraId="364B0298" w14:textId="382D362E" w:rsidR="00A86C65" w:rsidRDefault="00207BEC" w:rsidP="00237AA7">
            <w:pPr>
              <w:spacing w:after="120"/>
              <w:rPr>
                <w:rFonts w:ascii="Verdana" w:hAnsi="Verdana"/>
                <w:b/>
              </w:rPr>
            </w:pPr>
            <w:r>
              <w:rPr>
                <w:rFonts w:ascii="Verdana" w:hAnsi="Verdana"/>
                <w:b/>
              </w:rPr>
              <w:t>Thompson</w:t>
            </w:r>
          </w:p>
        </w:tc>
      </w:tr>
      <w:tr w:rsidR="00A86C65" w14:paraId="364B029E" w14:textId="77777777" w:rsidTr="00A86C65">
        <w:tc>
          <w:tcPr>
            <w:tcW w:w="1843" w:type="dxa"/>
          </w:tcPr>
          <w:p w14:paraId="364B029B" w14:textId="77777777" w:rsidR="00A86C65" w:rsidRDefault="00A86C65" w:rsidP="00237AA7">
            <w:pPr>
              <w:spacing w:after="120"/>
              <w:rPr>
                <w:rFonts w:ascii="Verdana" w:hAnsi="Verdana"/>
                <w:b/>
              </w:rPr>
            </w:pPr>
            <w:r>
              <w:rPr>
                <w:rFonts w:ascii="Verdana" w:hAnsi="Verdana"/>
                <w:b/>
              </w:rPr>
              <w:t>Organisation</w:t>
            </w:r>
          </w:p>
        </w:tc>
        <w:tc>
          <w:tcPr>
            <w:tcW w:w="7083" w:type="dxa"/>
          </w:tcPr>
          <w:p w14:paraId="364B029C" w14:textId="6DC87CE5" w:rsidR="00A86C65" w:rsidRDefault="00207BEC" w:rsidP="00237AA7">
            <w:pPr>
              <w:spacing w:after="120"/>
              <w:rPr>
                <w:rFonts w:ascii="Verdana" w:hAnsi="Verdana"/>
                <w:b/>
              </w:rPr>
            </w:pPr>
            <w:r>
              <w:rPr>
                <w:rFonts w:ascii="Verdana" w:hAnsi="Verdana"/>
                <w:b/>
              </w:rPr>
              <w:t>University of Edinburgh</w:t>
            </w:r>
          </w:p>
        </w:tc>
      </w:tr>
      <w:tr w:rsidR="00A86C65" w14:paraId="364B02A2" w14:textId="77777777" w:rsidTr="00A86C65">
        <w:tc>
          <w:tcPr>
            <w:tcW w:w="1843" w:type="dxa"/>
          </w:tcPr>
          <w:p w14:paraId="6184F47C" w14:textId="77777777" w:rsidR="00A86C65" w:rsidRDefault="00A86C65" w:rsidP="00237AA7">
            <w:pPr>
              <w:spacing w:after="120"/>
              <w:rPr>
                <w:rFonts w:ascii="Verdana" w:hAnsi="Verdana"/>
                <w:b/>
              </w:rPr>
            </w:pPr>
            <w:r>
              <w:rPr>
                <w:rFonts w:ascii="Verdana" w:hAnsi="Verdana"/>
                <w:b/>
              </w:rPr>
              <w:t>Division</w:t>
            </w:r>
          </w:p>
          <w:p w14:paraId="364B029F" w14:textId="44CF588D" w:rsidR="00A86C65" w:rsidRDefault="00A86C65" w:rsidP="00237AA7">
            <w:pPr>
              <w:spacing w:after="120"/>
              <w:rPr>
                <w:rFonts w:ascii="Verdana" w:hAnsi="Verdana"/>
                <w:b/>
              </w:rPr>
            </w:pPr>
            <w:r>
              <w:rPr>
                <w:rFonts w:ascii="Verdana" w:hAnsi="Verdana"/>
                <w:b/>
              </w:rPr>
              <w:t>/Department</w:t>
            </w:r>
          </w:p>
        </w:tc>
        <w:tc>
          <w:tcPr>
            <w:tcW w:w="7083" w:type="dxa"/>
          </w:tcPr>
          <w:p w14:paraId="364B02A0" w14:textId="7350D1DD" w:rsidR="00A86C65" w:rsidRDefault="00207BEC" w:rsidP="00237AA7">
            <w:pPr>
              <w:spacing w:after="120"/>
              <w:rPr>
                <w:rFonts w:ascii="Verdana" w:hAnsi="Verdana"/>
                <w:b/>
              </w:rPr>
            </w:pPr>
            <w:r>
              <w:rPr>
                <w:rFonts w:ascii="Verdana" w:hAnsi="Verdana"/>
                <w:b/>
              </w:rPr>
              <w:t>School of Informatics</w:t>
            </w:r>
          </w:p>
        </w:tc>
      </w:tr>
      <w:tr w:rsidR="00A86C65" w14:paraId="364B02A6" w14:textId="77777777" w:rsidTr="00A86C65">
        <w:tc>
          <w:tcPr>
            <w:tcW w:w="1843" w:type="dxa"/>
          </w:tcPr>
          <w:p w14:paraId="364B02A3" w14:textId="77777777" w:rsidR="00A86C65" w:rsidRDefault="00A86C65" w:rsidP="00237AA7">
            <w:pPr>
              <w:spacing w:after="120"/>
              <w:rPr>
                <w:rFonts w:ascii="Verdana" w:hAnsi="Verdana"/>
                <w:b/>
              </w:rPr>
            </w:pPr>
            <w:r>
              <w:rPr>
                <w:rFonts w:ascii="Verdana" w:hAnsi="Verdana"/>
                <w:b/>
              </w:rPr>
              <w:t>Address</w:t>
            </w:r>
          </w:p>
        </w:tc>
        <w:tc>
          <w:tcPr>
            <w:tcW w:w="7083" w:type="dxa"/>
          </w:tcPr>
          <w:p w14:paraId="364B02A4" w14:textId="7D05AFBC" w:rsidR="00A86C65" w:rsidRDefault="00207BEC" w:rsidP="00237AA7">
            <w:pPr>
              <w:spacing w:after="120"/>
              <w:rPr>
                <w:rFonts w:ascii="Verdana" w:hAnsi="Verdana"/>
                <w:b/>
              </w:rPr>
            </w:pPr>
            <w:r>
              <w:rPr>
                <w:rFonts w:ascii="Verdana" w:hAnsi="Verdana"/>
                <w:b/>
              </w:rPr>
              <w:t>4.22 Informatics Forum; 10 Crichton Street; Edi</w:t>
            </w:r>
            <w:r>
              <w:rPr>
                <w:rFonts w:ascii="Verdana" w:hAnsi="Verdana"/>
                <w:b/>
              </w:rPr>
              <w:t>n</w:t>
            </w:r>
            <w:r>
              <w:rPr>
                <w:rFonts w:ascii="Verdana" w:hAnsi="Verdana"/>
                <w:b/>
              </w:rPr>
              <w:t>burgh; EH8 9AB</w:t>
            </w:r>
          </w:p>
        </w:tc>
      </w:tr>
      <w:tr w:rsidR="00A86C65" w14:paraId="364B02AA" w14:textId="77777777" w:rsidTr="00A86C65">
        <w:tc>
          <w:tcPr>
            <w:tcW w:w="1843" w:type="dxa"/>
          </w:tcPr>
          <w:p w14:paraId="364B02A7" w14:textId="77777777" w:rsidR="00A86C65" w:rsidRDefault="00A86C65" w:rsidP="00237AA7">
            <w:pPr>
              <w:spacing w:after="120"/>
              <w:rPr>
                <w:rFonts w:ascii="Verdana" w:hAnsi="Verdana"/>
                <w:b/>
              </w:rPr>
            </w:pPr>
            <w:r>
              <w:rPr>
                <w:rFonts w:ascii="Verdana" w:hAnsi="Verdana"/>
                <w:b/>
              </w:rPr>
              <w:t>Email</w:t>
            </w:r>
          </w:p>
        </w:tc>
        <w:tc>
          <w:tcPr>
            <w:tcW w:w="7083" w:type="dxa"/>
          </w:tcPr>
          <w:p w14:paraId="364B02A8" w14:textId="238426B1" w:rsidR="00A86C65" w:rsidRDefault="00207BEC" w:rsidP="00237AA7">
            <w:pPr>
              <w:spacing w:after="120"/>
              <w:rPr>
                <w:rFonts w:ascii="Verdana" w:hAnsi="Verdana"/>
                <w:b/>
              </w:rPr>
            </w:pPr>
            <w:r>
              <w:rPr>
                <w:rFonts w:ascii="Verdana" w:hAnsi="Verdana"/>
                <w:b/>
              </w:rPr>
              <w:t>ht@inf.ed.ac.uk</w:t>
            </w:r>
          </w:p>
        </w:tc>
      </w:tr>
    </w:tbl>
    <w:p w14:paraId="364B02AB" w14:textId="77777777" w:rsidR="00F5347D" w:rsidRPr="00693CE1" w:rsidRDefault="00F5347D" w:rsidP="00237AA7">
      <w:pPr>
        <w:spacing w:after="120" w:line="240" w:lineRule="auto"/>
        <w:rPr>
          <w:rFonts w:ascii="Verdana" w:hAnsi="Verdana"/>
          <w:b/>
          <w:sz w:val="2"/>
          <w:szCs w:val="2"/>
        </w:rPr>
      </w:pPr>
    </w:p>
    <w:p w14:paraId="364B02B1" w14:textId="2E857256" w:rsidR="005578BB" w:rsidRDefault="00207BEC" w:rsidP="005578BB">
      <w:pPr>
        <w:tabs>
          <w:tab w:val="left" w:pos="1985"/>
        </w:tabs>
        <w:spacing w:after="60"/>
        <w:rPr>
          <w:rFonts w:ascii="Verdana" w:hAnsi="Verdana"/>
          <w:b/>
        </w:rPr>
      </w:pPr>
      <w:r>
        <w:rPr>
          <w:rFonts w:ascii="Verdana" w:hAnsi="Verdana"/>
          <w:b/>
          <w:noProof/>
          <w:lang w:eastAsia="en-GB"/>
        </w:rPr>
        <mc:AlternateContent>
          <mc:Choice Requires="wps">
            <w:drawing>
              <wp:anchor distT="0" distB="0" distL="114300" distR="114300" simplePos="0" relativeHeight="251668480" behindDoc="0" locked="0" layoutInCell="1" allowOverlap="1" wp14:anchorId="50800D01" wp14:editId="4443D1A4">
                <wp:simplePos x="0" y="0"/>
                <wp:positionH relativeFrom="column">
                  <wp:posOffset>4791075</wp:posOffset>
                </wp:positionH>
                <wp:positionV relativeFrom="paragraph">
                  <wp:posOffset>281305</wp:posOffset>
                </wp:positionV>
                <wp:extent cx="314325" cy="356235"/>
                <wp:effectExtent l="0" t="0" r="28575" b="24765"/>
                <wp:wrapNone/>
                <wp:docPr id="2" name="Text Box 2"/>
                <wp:cNvGraphicFramePr/>
                <a:graphic xmlns:a="http://schemas.openxmlformats.org/drawingml/2006/main">
                  <a:graphicData uri="http://schemas.microsoft.com/office/word/2010/wordprocessingShape">
                    <wps:wsp>
                      <wps:cNvSpPr txBox="1"/>
                      <wps:spPr>
                        <a:xfrm>
                          <a:off x="0" y="0"/>
                          <a:ext cx="314325" cy="3562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40CB69" w14:textId="61CBB38B" w:rsidR="001B54EF" w:rsidRPr="00207BEC" w:rsidRDefault="001B54EF">
                            <w:pPr>
                              <w:rPr>
                                <w:b/>
                                <w:sz w:val="36"/>
                              </w:rPr>
                            </w:pPr>
                            <w:r w:rsidRPr="00207BEC">
                              <w:rPr>
                                <w:b/>
                                <w:sz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7.25pt;margin-top:22.15pt;width:24.75pt;height:28.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" fillcolor="white [3201]" strokeweight=".5pt">
                <v:textbox>
                  <w:txbxContent>
                    <w:p w14:paraId="5140CB69" w14:textId="61CBB38B" w:rsidR="001B54EF" w:rsidRPr="00207BEC" w:rsidRDefault="001B54EF">
                      <w:pPr>
                        <w:rPr>
                          <w:b/>
                          <w:sz w:val="36"/>
                        </w:rPr>
                      </w:pPr>
                      <w:r w:rsidRPr="00207BEC">
                        <w:rPr>
                          <w:b/>
                          <w:sz w:val="36"/>
                        </w:rPr>
                        <w:t>X</w:t>
                      </w:r>
                    </w:p>
                  </w:txbxContent>
                </v:textbox>
              </v:shape>
            </w:pict>
          </mc:Fallback>
        </mc:AlternateContent>
      </w:r>
      <w:r w:rsidR="005578BB">
        <w:rPr>
          <w:rFonts w:ascii="Verdana" w:hAnsi="Verdana"/>
          <w:b/>
          <w:noProof/>
          <w:lang w:eastAsia="en-GB"/>
        </w:rPr>
        <mc:AlternateContent>
          <mc:Choice Requires="wps">
            <w:drawing>
              <wp:anchor distT="0" distB="0" distL="114300" distR="114300" simplePos="0" relativeHeight="251667456" behindDoc="0" locked="0" layoutInCell="1" allowOverlap="1" wp14:anchorId="364B02F1" wp14:editId="364B02F2">
                <wp:simplePos x="0" y="0"/>
                <wp:positionH relativeFrom="column">
                  <wp:posOffset>4850130</wp:posOffset>
                </wp:positionH>
                <wp:positionV relativeFrom="paragraph">
                  <wp:posOffset>390899</wp:posOffset>
                </wp:positionV>
                <wp:extent cx="203835" cy="203835"/>
                <wp:effectExtent l="0" t="0" r="24765" b="24765"/>
                <wp:wrapNone/>
                <wp:docPr id="5" name="Rectangle 5"/>
                <wp:cNvGraphicFramePr/>
                <a:graphic xmlns:a="http://schemas.openxmlformats.org/drawingml/2006/main">
                  <a:graphicData uri="http://schemas.microsoft.com/office/word/2010/wordprocessingShape">
                    <wps:wsp>
                      <wps:cNvSpPr/>
                      <wps:spPr>
                        <a:xfrm>
                          <a:off x="0" y="0"/>
                          <a:ext cx="203835" cy="2038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9A36D0" id="Rectangle 5" o:spid="_x0000_s1026" style="position:absolute;margin-left:381.9pt;margin-top:30.8pt;width:16.05pt;height:16.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" fillcolor="white [3201]" strokecolor="black [3213]" strokeweight=".25pt"/>
            </w:pict>
          </mc:Fallback>
        </mc:AlternateContent>
      </w:r>
      <w:r w:rsidR="005578BB">
        <w:rPr>
          <w:rFonts w:ascii="Verdana" w:hAnsi="Verdana"/>
          <w:b/>
        </w:rPr>
        <w:t>Are you a member of a currently funded HEC consortium (see call doc</w:t>
      </w:r>
      <w:r w:rsidR="005578BB">
        <w:rPr>
          <w:rFonts w:ascii="Verdana" w:hAnsi="Verdana"/>
          <w:b/>
        </w:rPr>
        <w:t>u</w:t>
      </w:r>
      <w:r w:rsidR="005578BB">
        <w:rPr>
          <w:rFonts w:ascii="Verdana" w:hAnsi="Verdana"/>
          <w:b/>
        </w:rPr>
        <w:t>ment)</w:t>
      </w:r>
    </w:p>
    <w:p w14:paraId="364B02B2" w14:textId="77777777" w:rsidR="005578BB" w:rsidRDefault="005578BB" w:rsidP="005578BB">
      <w:pPr>
        <w:tabs>
          <w:tab w:val="left" w:pos="993"/>
        </w:tabs>
        <w:rPr>
          <w:rFonts w:ascii="Verdana" w:hAnsi="Verdana"/>
          <w:b/>
        </w:rPr>
      </w:pPr>
      <w:r>
        <w:rPr>
          <w:rFonts w:ascii="Verdana" w:hAnsi="Verdana"/>
          <w:b/>
        </w:rPr>
        <w:t>Yes, consortium name: _________________________</w:t>
      </w:r>
      <w:r>
        <w:rPr>
          <w:rFonts w:ascii="Verdana" w:hAnsi="Verdana"/>
          <w:b/>
        </w:rPr>
        <w:tab/>
        <w:t>No</w:t>
      </w:r>
    </w:p>
    <w:p w14:paraId="6A1D5DEF" w14:textId="53C50D05" w:rsidR="00326E5F" w:rsidRDefault="007D7154" w:rsidP="005578BB">
      <w:pPr>
        <w:tabs>
          <w:tab w:val="left" w:pos="993"/>
        </w:tabs>
        <w:rPr>
          <w:rFonts w:ascii="Verdana" w:hAnsi="Verdana"/>
          <w:b/>
        </w:rPr>
      </w:pPr>
      <w:r>
        <w:rPr>
          <w:rFonts w:ascii="Verdana" w:hAnsi="Verdana"/>
          <w:b/>
        </w:rPr>
        <w:t>If yes</w:t>
      </w:r>
      <w:r w:rsidR="00A86C65">
        <w:rPr>
          <w:rFonts w:ascii="Verdana" w:hAnsi="Verdana"/>
          <w:b/>
        </w:rPr>
        <w:t xml:space="preserve"> and you are applying for ARCHER2 compute</w:t>
      </w:r>
      <w:r>
        <w:rPr>
          <w:rFonts w:ascii="Verdana" w:hAnsi="Verdana"/>
          <w:b/>
        </w:rPr>
        <w:t xml:space="preserve">, </w:t>
      </w:r>
      <w:r w:rsidR="00A86C65">
        <w:rPr>
          <w:rFonts w:ascii="Verdana" w:hAnsi="Verdana"/>
          <w:b/>
        </w:rPr>
        <w:t>p</w:t>
      </w:r>
      <w:r w:rsidR="00326E5F">
        <w:rPr>
          <w:rFonts w:ascii="Verdana" w:hAnsi="Verdana"/>
          <w:b/>
        </w:rPr>
        <w:t xml:space="preserve">lease briefly explain why you are not applying for time through this consortium: </w:t>
      </w:r>
    </w:p>
    <w:tbl>
      <w:tblPr>
        <w:tblStyle w:val="TableGrid"/>
        <w:tblW w:w="0" w:type="auto"/>
        <w:tblLook w:val="04A0" w:firstRow="1" w:lastRow="0" w:firstColumn="1" w:lastColumn="0" w:noHBand="0" w:noVBand="1"/>
      </w:tblPr>
      <w:tblGrid>
        <w:gridCol w:w="9016"/>
      </w:tblGrid>
      <w:tr w:rsidR="00326E5F" w14:paraId="34532A4E" w14:textId="77777777" w:rsidTr="00326E5F">
        <w:trPr>
          <w:trHeight w:val="830"/>
        </w:trPr>
        <w:tc>
          <w:tcPr>
            <w:tcW w:w="9016" w:type="dxa"/>
          </w:tcPr>
          <w:p w14:paraId="1F44FAB8" w14:textId="77777777" w:rsidR="00326E5F" w:rsidRDefault="00326E5F" w:rsidP="005578BB">
            <w:pPr>
              <w:tabs>
                <w:tab w:val="left" w:pos="993"/>
              </w:tabs>
              <w:rPr>
                <w:rFonts w:ascii="Verdana" w:hAnsi="Verdana"/>
                <w:b/>
              </w:rPr>
            </w:pPr>
          </w:p>
        </w:tc>
      </w:tr>
    </w:tbl>
    <w:p w14:paraId="364B02B4" w14:textId="3984BB0D" w:rsidR="00572B2B" w:rsidRDefault="00326E5F" w:rsidP="00326E5F">
      <w:pPr>
        <w:tabs>
          <w:tab w:val="left" w:pos="993"/>
        </w:tabs>
        <w:rPr>
          <w:rFonts w:ascii="Verdana" w:hAnsi="Verdana"/>
          <w:b/>
        </w:rPr>
      </w:pPr>
      <w:r>
        <w:rPr>
          <w:rFonts w:ascii="Verdana" w:hAnsi="Verdana"/>
          <w:b/>
        </w:rPr>
        <w:br/>
        <w:t>Please note that if ESPRC staff judge that the proposal is potentially in the remit of a HEC consortium then the proposal may be shared with the relevant consortium chair. The proposal will be shared with the relevant chair if it is successful</w:t>
      </w:r>
      <w:r w:rsidR="00036BFE">
        <w:rPr>
          <w:rFonts w:ascii="Verdana" w:hAnsi="Verdana"/>
          <w:b/>
        </w:rPr>
        <w:t>.</w:t>
      </w:r>
    </w:p>
    <w:p w14:paraId="77D988EA" w14:textId="513A9624" w:rsidR="00036BFE" w:rsidRDefault="00036BFE" w:rsidP="00326E5F">
      <w:pPr>
        <w:tabs>
          <w:tab w:val="left" w:pos="993"/>
        </w:tabs>
        <w:rPr>
          <w:rFonts w:ascii="Verdana" w:hAnsi="Verdana"/>
          <w:b/>
        </w:rPr>
      </w:pPr>
      <w:r>
        <w:rPr>
          <w:rFonts w:ascii="Verdana" w:hAnsi="Verdana"/>
          <w:b/>
        </w:rPr>
        <w:t>For guidance in completing the remainder of this application form, please refer to the ‘Guidance for writing an application’ section of the Access to HPC call document.</w:t>
      </w:r>
    </w:p>
    <w:p w14:paraId="560959D4" w14:textId="182130C7" w:rsidR="00326E5F" w:rsidRPr="00693CE1" w:rsidRDefault="001D6074" w:rsidP="00326E5F">
      <w:pPr>
        <w:spacing w:after="0" w:line="240" w:lineRule="auto"/>
        <w:rPr>
          <w:rFonts w:ascii="Verdana" w:hAnsi="Verdana"/>
          <w:b/>
        </w:rPr>
      </w:pPr>
      <w:r w:rsidRPr="00693CE1">
        <w:rPr>
          <w:rFonts w:ascii="Verdana" w:hAnsi="Verdana"/>
          <w:b/>
        </w:rPr>
        <w:br w:type="page"/>
      </w:r>
      <w:r w:rsidR="00326E5F" w:rsidRPr="00693CE1">
        <w:rPr>
          <w:rFonts w:ascii="Verdana" w:hAnsi="Verdana"/>
          <w:b/>
        </w:rPr>
        <w:lastRenderedPageBreak/>
        <w:t xml:space="preserve">Objectives </w:t>
      </w:r>
      <w:r w:rsidR="00326E5F" w:rsidRPr="00036BFE">
        <w:rPr>
          <w:rFonts w:ascii="Verdana" w:hAnsi="Verdana"/>
          <w:bCs/>
        </w:rPr>
        <w:t>(</w:t>
      </w:r>
      <w:r w:rsidR="00036BFE" w:rsidRPr="00036BFE">
        <w:rPr>
          <w:rFonts w:ascii="Verdana" w:hAnsi="Verdana"/>
          <w:bCs/>
        </w:rPr>
        <w:t>up to</w:t>
      </w:r>
      <w:r w:rsidR="00326E5F" w:rsidRPr="00036BFE">
        <w:rPr>
          <w:rFonts w:ascii="Verdana" w:hAnsi="Verdana"/>
          <w:bCs/>
        </w:rPr>
        <w:t xml:space="preserve"> 1/2 page)</w:t>
      </w:r>
    </w:p>
    <w:p w14:paraId="3FC807B6" w14:textId="77777777" w:rsidR="00326E5F" w:rsidRPr="00693CE1" w:rsidRDefault="00326E5F" w:rsidP="00326E5F">
      <w:pPr>
        <w:spacing w:after="120" w:line="240" w:lineRule="auto"/>
        <w:rPr>
          <w:rFonts w:ascii="Verdana" w:hAnsi="Verdana"/>
        </w:rPr>
      </w:pPr>
    </w:p>
    <w:tbl>
      <w:tblPr>
        <w:tblStyle w:val="TableGrid"/>
        <w:tblW w:w="9402" w:type="dxa"/>
        <w:tblLook w:val="04A0" w:firstRow="1" w:lastRow="0" w:firstColumn="1" w:lastColumn="0" w:noHBand="0" w:noVBand="1"/>
      </w:tblPr>
      <w:tblGrid>
        <w:gridCol w:w="9402"/>
      </w:tblGrid>
      <w:tr w:rsidR="00326E5F" w:rsidRPr="00840E22" w14:paraId="67244FD9" w14:textId="77777777" w:rsidTr="001B54EF">
        <w:trPr>
          <w:trHeight w:val="7271"/>
        </w:trPr>
        <w:tc>
          <w:tcPr>
            <w:tcW w:w="9402" w:type="dxa"/>
          </w:tcPr>
          <w:p w14:paraId="4F1900C6" w14:textId="252E9C2C" w:rsidR="00130337" w:rsidRPr="00CA7EE9" w:rsidRDefault="00130337" w:rsidP="00840E22">
            <w:pPr>
              <w:spacing w:after="120"/>
              <w:rPr>
                <w:rFonts w:ascii="DejaVu Sans" w:hAnsi="DejaVu Sans" w:cs="DejaVu Sans"/>
              </w:rPr>
            </w:pPr>
            <w:r w:rsidRPr="00CA7EE9">
              <w:rPr>
                <w:rFonts w:ascii="DejaVu Sans" w:hAnsi="DejaVu Sans" w:cs="DejaVu Sans"/>
              </w:rPr>
              <w:t>The proposed work w</w:t>
            </w:r>
            <w:r w:rsidR="001B54EF">
              <w:rPr>
                <w:rFonts w:ascii="DejaVu Sans" w:hAnsi="DejaVu Sans" w:cs="DejaVu Sans"/>
              </w:rPr>
              <w:t>ill extend both the granularity</w:t>
            </w:r>
            <w:r w:rsidRPr="00CA7EE9">
              <w:rPr>
                <w:rFonts w:ascii="DejaVu Sans" w:hAnsi="DejaVu Sans" w:cs="DejaVu Sans"/>
              </w:rPr>
              <w:t xml:space="preserve"> and of our previous longitud</w:t>
            </w:r>
            <w:r w:rsidRPr="00CA7EE9">
              <w:rPr>
                <w:rFonts w:ascii="DejaVu Sans" w:hAnsi="DejaVu Sans" w:cs="DejaVu Sans"/>
              </w:rPr>
              <w:t>i</w:t>
            </w:r>
            <w:r w:rsidRPr="00CA7EE9">
              <w:rPr>
                <w:rFonts w:ascii="DejaVu Sans" w:hAnsi="DejaVu Sans" w:cs="DejaVu Sans"/>
              </w:rPr>
              <w:t>nal studies based on the Common Crawl web archive</w:t>
            </w:r>
            <w:r w:rsidR="006A0E71" w:rsidRPr="00CA7EE9">
              <w:rPr>
                <w:rFonts w:ascii="DejaVu Sans" w:hAnsi="DejaVu Sans" w:cs="DejaVu Sans"/>
              </w:rPr>
              <w:t xml:space="preserve"> (CC)</w:t>
            </w:r>
            <w:r w:rsidRPr="00CA7EE9">
              <w:rPr>
                <w:rFonts w:ascii="DejaVu Sans" w:hAnsi="DejaVu Sans" w:cs="DejaVu Sans"/>
              </w:rPr>
              <w:t>.</w:t>
            </w:r>
            <w:r w:rsidR="006A0E71" w:rsidRPr="00CA7EE9">
              <w:rPr>
                <w:rFonts w:ascii="DejaVu Sans" w:hAnsi="DejaVu Sans" w:cs="DejaVu Sans"/>
              </w:rPr>
              <w:t xml:space="preserve">  Efficiently processing the 50TB (compressed) monthly CC archives requires large scale data-parallelism as provided by Cirrus.  </w:t>
            </w:r>
          </w:p>
          <w:p w14:paraId="27C4B67D" w14:textId="477DBBEB" w:rsidR="00130337" w:rsidRPr="00CA7EE9" w:rsidRDefault="00974B13" w:rsidP="00974B13">
            <w:pPr>
              <w:rPr>
                <w:rFonts w:ascii="DejaVu Sans" w:hAnsi="DejaVu Sans" w:cs="DejaVu Sans"/>
                <w:sz w:val="24"/>
                <w:szCs w:val="24"/>
              </w:rPr>
            </w:pPr>
            <w:r w:rsidRPr="00CA7EE9">
              <w:rPr>
                <w:rFonts w:ascii="DejaVu Sans" w:hAnsi="DejaVu Sans" w:cs="DejaVu Sans"/>
                <w:b/>
              </w:rPr>
              <w:t>Objective 1</w:t>
            </w:r>
            <w:r w:rsidRPr="00CA7EE9">
              <w:rPr>
                <w:rFonts w:ascii="DejaVu Sans" w:hAnsi="DejaVu Sans" w:cs="DejaVu Sans"/>
              </w:rPr>
              <w:t>: Measure t</w:t>
            </w:r>
            <w:r w:rsidR="00130337" w:rsidRPr="00CA7EE9">
              <w:rPr>
                <w:rFonts w:ascii="DejaVu Sans" w:hAnsi="DejaVu Sans" w:cs="DejaVu Sans"/>
              </w:rPr>
              <w:t>he</w:t>
            </w:r>
            <w:r w:rsidRPr="00CA7EE9">
              <w:rPr>
                <w:rFonts w:ascii="DejaVu Sans" w:hAnsi="DejaVu Sans" w:cs="DejaVu Sans"/>
              </w:rPr>
              <w:t xml:space="preserve"> </w:t>
            </w:r>
            <w:r w:rsidR="00130337" w:rsidRPr="00CA7EE9">
              <w:rPr>
                <w:rFonts w:ascii="DejaVu Sans" w:hAnsi="DejaVu Sans" w:cs="DejaVu Sans"/>
              </w:rPr>
              <w:t>shift from</w:t>
            </w:r>
            <w:r w:rsidR="00130337" w:rsidRPr="00CA7EE9">
              <w:rPr>
                <w:rFonts w:ascii="DejaVu Sans" w:hAnsi="DejaVu Sans" w:cs="DejaVu Sans"/>
                <w:sz w:val="24"/>
                <w:szCs w:val="24"/>
              </w:rPr>
              <w:t xml:space="preserve"> </w:t>
            </w:r>
            <w:r w:rsidR="00130337" w:rsidRPr="00CA7EE9">
              <w:rPr>
                <w:rFonts w:ascii="DejaVu Sans Mono" w:hAnsi="DejaVu Sans Mono" w:cs="DejaVu Sans Mono"/>
                <w:sz w:val="20"/>
                <w:szCs w:val="20"/>
              </w:rPr>
              <w:t>http:</w:t>
            </w:r>
            <w:r w:rsidR="00130337" w:rsidRPr="00CA7EE9">
              <w:rPr>
                <w:rFonts w:ascii="DejaVu Sans" w:hAnsi="DejaVu Sans" w:cs="DejaVu Sans"/>
                <w:sz w:val="24"/>
                <w:szCs w:val="24"/>
              </w:rPr>
              <w:t xml:space="preserve"> </w:t>
            </w:r>
            <w:r w:rsidR="00130337" w:rsidRPr="00CA7EE9">
              <w:rPr>
                <w:rFonts w:ascii="DejaVu Sans" w:hAnsi="DejaVu Sans" w:cs="DejaVu Sans"/>
              </w:rPr>
              <w:t>to</w:t>
            </w:r>
            <w:r w:rsidR="00130337" w:rsidRPr="00CA7EE9">
              <w:rPr>
                <w:rFonts w:ascii="DejaVu Sans" w:hAnsi="DejaVu Sans" w:cs="DejaVu Sans"/>
                <w:sz w:val="24"/>
                <w:szCs w:val="24"/>
              </w:rPr>
              <w:t xml:space="preserve"> </w:t>
            </w:r>
            <w:r w:rsidR="00130337" w:rsidRPr="00CA7EE9">
              <w:rPr>
                <w:rFonts w:ascii="DejaVu Sans Mono" w:hAnsi="DejaVu Sans Mono" w:cs="DejaVu Sans Mono"/>
                <w:sz w:val="20"/>
                <w:szCs w:val="20"/>
              </w:rPr>
              <w:t>https</w:t>
            </w:r>
            <w:r w:rsidR="00CA7EE9">
              <w:rPr>
                <w:rFonts w:ascii="DejaVu Sans Mono" w:hAnsi="DejaVu Sans Mono" w:cs="DejaVu Sans Mono"/>
                <w:sz w:val="20"/>
                <w:szCs w:val="20"/>
              </w:rPr>
              <w:t>:</w:t>
            </w:r>
          </w:p>
          <w:p w14:paraId="472B8043" w14:textId="4746DD4F" w:rsidR="00130337" w:rsidRPr="00CA7EE9" w:rsidRDefault="00130337" w:rsidP="00974B13">
            <w:pPr>
              <w:pStyle w:val="ListParagraph"/>
              <w:numPr>
                <w:ilvl w:val="0"/>
                <w:numId w:val="5"/>
              </w:numPr>
              <w:rPr>
                <w:rFonts w:ascii="DejaVu Sans" w:hAnsi="DejaVu Sans" w:cs="DejaVu Sans"/>
              </w:rPr>
            </w:pPr>
            <w:r w:rsidRPr="00CA7EE9">
              <w:rPr>
                <w:rFonts w:ascii="DejaVu Sans" w:hAnsi="DejaVu Sans" w:cs="DejaVu Sans"/>
              </w:rPr>
              <w:t xml:space="preserve">Is the rate of shift decreasing?  </w:t>
            </w:r>
            <w:r w:rsidR="003F1BF5" w:rsidRPr="00CA7EE9">
              <w:rPr>
                <w:rFonts w:ascii="DejaVu Sans" w:hAnsi="DejaVu Sans" w:cs="DejaVu Sans"/>
              </w:rPr>
              <w:t>This</w:t>
            </w:r>
            <w:r w:rsidRPr="00CA7EE9">
              <w:rPr>
                <w:rFonts w:ascii="DejaVu Sans" w:hAnsi="DejaVu Sans" w:cs="DejaVu Sans"/>
              </w:rPr>
              <w:t xml:space="preserve"> has important </w:t>
            </w:r>
            <w:r w:rsidR="003F1BF5" w:rsidRPr="00CA7EE9">
              <w:rPr>
                <w:rFonts w:ascii="DejaVu Sans" w:hAnsi="DejaVu Sans" w:cs="DejaVu Sans"/>
              </w:rPr>
              <w:t>implications</w:t>
            </w:r>
            <w:r w:rsidRPr="00CA7EE9">
              <w:rPr>
                <w:rFonts w:ascii="DejaVu Sans" w:hAnsi="DejaVu Sans" w:cs="DejaVu Sans"/>
              </w:rPr>
              <w:t xml:space="preserve"> for the long-term value of (existing approaches to) web caching.</w:t>
            </w:r>
          </w:p>
          <w:p w14:paraId="57B6B3FC" w14:textId="5EE32212" w:rsidR="003F1BF5" w:rsidRPr="00CA7EE9" w:rsidRDefault="00130337" w:rsidP="00974B13">
            <w:pPr>
              <w:pStyle w:val="ListParagraph"/>
              <w:numPr>
                <w:ilvl w:val="0"/>
                <w:numId w:val="5"/>
              </w:numPr>
              <w:rPr>
                <w:rFonts w:ascii="DejaVu Sans" w:hAnsi="DejaVu Sans" w:cs="DejaVu Sans"/>
              </w:rPr>
            </w:pPr>
            <w:r w:rsidRPr="00CA7EE9">
              <w:rPr>
                <w:rFonts w:ascii="DejaVu Sans" w:hAnsi="DejaVu Sans" w:cs="DejaVu Sans"/>
              </w:rPr>
              <w:t xml:space="preserve">Are particular types of web pages more resistant to change than others?  </w:t>
            </w:r>
            <w:r w:rsidR="003F1BF5" w:rsidRPr="00CA7EE9">
              <w:rPr>
                <w:rFonts w:ascii="DejaVu Sans" w:hAnsi="DejaVu Sans" w:cs="DejaVu Sans"/>
              </w:rPr>
              <w:t>If so, targeted information campaigns become possible.</w:t>
            </w:r>
          </w:p>
          <w:p w14:paraId="2AB67510" w14:textId="755459F4" w:rsidR="003F1BF5" w:rsidRPr="00CA7EE9" w:rsidRDefault="00974B13" w:rsidP="00974B13">
            <w:pPr>
              <w:rPr>
                <w:rFonts w:ascii="DejaVu Sans" w:hAnsi="DejaVu Sans" w:cs="DejaVu Sans"/>
              </w:rPr>
            </w:pPr>
            <w:r w:rsidRPr="00CA7EE9">
              <w:rPr>
                <w:rFonts w:ascii="DejaVu Sans" w:hAnsi="DejaVu Sans" w:cs="DejaVu Sans"/>
                <w:b/>
              </w:rPr>
              <w:t>Objective 2</w:t>
            </w:r>
            <w:r w:rsidRPr="00CA7EE9">
              <w:rPr>
                <w:rFonts w:ascii="DejaVu Sans" w:hAnsi="DejaVu Sans" w:cs="DejaVu Sans"/>
              </w:rPr>
              <w:t xml:space="preserve">: Measure the </w:t>
            </w:r>
            <w:r w:rsidR="00130337" w:rsidRPr="00CA7EE9">
              <w:rPr>
                <w:rFonts w:ascii="DejaVu Sans" w:hAnsi="DejaVu Sans" w:cs="DejaVu Sans"/>
              </w:rPr>
              <w:t>up</w:t>
            </w:r>
            <w:r w:rsidR="003F1BF5" w:rsidRPr="00CA7EE9">
              <w:rPr>
                <w:rFonts w:ascii="DejaVu Sans" w:hAnsi="DejaVu Sans" w:cs="DejaVu Sans"/>
              </w:rPr>
              <w:t>take of persistent identifiers</w:t>
            </w:r>
            <w:r w:rsidR="00C5206C" w:rsidRPr="00CA7EE9">
              <w:rPr>
                <w:rFonts w:ascii="DejaVu Sans" w:hAnsi="DejaVu Sans" w:cs="DejaVu Sans"/>
              </w:rPr>
              <w:t xml:space="preserve"> (PIDs)</w:t>
            </w:r>
          </w:p>
          <w:p w14:paraId="741C13EC" w14:textId="77777777" w:rsidR="00432015" w:rsidRPr="00CA7EE9" w:rsidRDefault="00C5206C" w:rsidP="00974B13">
            <w:pPr>
              <w:pStyle w:val="ListParagraph"/>
              <w:numPr>
                <w:ilvl w:val="0"/>
                <w:numId w:val="5"/>
              </w:numPr>
              <w:rPr>
                <w:rFonts w:ascii="DejaVu Sans" w:hAnsi="DejaVu Sans" w:cs="DejaVu Sans"/>
              </w:rPr>
            </w:pPr>
            <w:r w:rsidRPr="00CA7EE9">
              <w:rPr>
                <w:rFonts w:ascii="DejaVu Sans" w:hAnsi="DejaVu Sans" w:cs="DejaVu Sans"/>
              </w:rPr>
              <w:t xml:space="preserve">Is there any sign of significant usage outside the scholarly journals? </w:t>
            </w:r>
          </w:p>
          <w:p w14:paraId="45DE6568" w14:textId="77777777" w:rsidR="00326E5F" w:rsidRPr="00CA7EE9" w:rsidRDefault="00C5206C" w:rsidP="00974B13">
            <w:pPr>
              <w:pStyle w:val="ListParagraph"/>
              <w:numPr>
                <w:ilvl w:val="0"/>
                <w:numId w:val="5"/>
              </w:numPr>
              <w:rPr>
                <w:rFonts w:ascii="DejaVu Sans" w:hAnsi="DejaVu Sans" w:cs="DejaVu Sans"/>
              </w:rPr>
            </w:pPr>
            <w:r w:rsidRPr="00CA7EE9">
              <w:rPr>
                <w:rFonts w:ascii="DejaVu Sans" w:hAnsi="DejaVu Sans" w:cs="DejaVu Sans"/>
              </w:rPr>
              <w:t>What are the relative trends as between single-scheme resolvers</w:t>
            </w:r>
            <w:r w:rsidRPr="00CA7EE9">
              <w:rPr>
                <w:rFonts w:ascii="DejaVu Sans" w:hAnsi="DejaVu Sans" w:cs="DejaVu Sans"/>
                <w:sz w:val="24"/>
                <w:szCs w:val="24"/>
              </w:rPr>
              <w:t xml:space="preserve"> </w:t>
            </w:r>
            <w:r w:rsidRPr="00CA7EE9">
              <w:rPr>
                <w:rFonts w:ascii="DejaVu Sans" w:hAnsi="DejaVu Sans" w:cs="DejaVu Sans"/>
              </w:rPr>
              <w:t>(e.g.</w:t>
            </w:r>
            <w:r w:rsidRPr="00CA7EE9">
              <w:rPr>
                <w:rFonts w:ascii="DejaVu Sans" w:hAnsi="DejaVu Sans" w:cs="DejaVu Sans"/>
                <w:sz w:val="24"/>
                <w:szCs w:val="24"/>
              </w:rPr>
              <w:t xml:space="preserve"> </w:t>
            </w:r>
            <w:r w:rsidRPr="00CA7EE9">
              <w:rPr>
                <w:rFonts w:ascii="DejaVu Sans Mono" w:hAnsi="DejaVu Sans Mono" w:cs="DejaVu Sans Mono"/>
                <w:sz w:val="20"/>
                <w:szCs w:val="20"/>
              </w:rPr>
              <w:t xml:space="preserve">doi.org </w:t>
            </w:r>
            <w:r w:rsidRPr="00CA7EE9">
              <w:rPr>
                <w:rFonts w:ascii="DejaVu Sans" w:hAnsi="DejaVu Sans" w:cs="DejaVu Sans"/>
              </w:rPr>
              <w:t>for DOIs</w:t>
            </w:r>
            <w:r w:rsidR="00432015" w:rsidRPr="00CA7EE9">
              <w:rPr>
                <w:rFonts w:ascii="DejaVu Sans" w:hAnsi="DejaVu Sans" w:cs="DejaVu Sans"/>
              </w:rPr>
              <w:t>,</w:t>
            </w:r>
            <w:r w:rsidR="00432015" w:rsidRPr="00CA7EE9">
              <w:rPr>
                <w:rFonts w:ascii="DejaVu Sans" w:hAnsi="DejaVu Sans" w:cs="DejaVu Sans"/>
                <w:sz w:val="24"/>
                <w:szCs w:val="24"/>
              </w:rPr>
              <w:t xml:space="preserve"> </w:t>
            </w:r>
            <w:r w:rsidR="00432015" w:rsidRPr="00CA7EE9">
              <w:rPr>
                <w:rFonts w:ascii="DejaVu Sans Mono" w:hAnsi="DejaVu Sans Mono" w:cs="DejaVu Sans Mono"/>
                <w:sz w:val="20"/>
                <w:szCs w:val="20"/>
              </w:rPr>
              <w:t>hdl.handle.net</w:t>
            </w:r>
            <w:r w:rsidR="00432015" w:rsidRPr="00CA7EE9">
              <w:rPr>
                <w:rFonts w:ascii="DejaVu Sans" w:hAnsi="DejaVu Sans" w:cs="DejaVu Sans"/>
              </w:rPr>
              <w:t xml:space="preserve"> for handles</w:t>
            </w:r>
            <w:r w:rsidRPr="00CA7EE9">
              <w:rPr>
                <w:rFonts w:ascii="DejaVu Sans" w:hAnsi="DejaVu Sans" w:cs="DejaVu Sans"/>
              </w:rPr>
              <w:t xml:space="preserve">) vs. generic resolvers (e.g. </w:t>
            </w:r>
            <w:r w:rsidR="00432015" w:rsidRPr="00CA7EE9">
              <w:rPr>
                <w:rFonts w:ascii="DejaVu Sans Mono" w:hAnsi="DejaVu Sans Mono" w:cs="DejaVu Sans Mono"/>
                <w:sz w:val="20"/>
                <w:szCs w:val="20"/>
              </w:rPr>
              <w:t>n2t.net</w:t>
            </w:r>
            <w:r w:rsidR="00432015" w:rsidRPr="00CA7EE9">
              <w:rPr>
                <w:rFonts w:ascii="DejaVu Sans" w:hAnsi="DejaVu Sans" w:cs="DejaVu Sans"/>
                <w:sz w:val="24"/>
                <w:szCs w:val="24"/>
              </w:rPr>
              <w:t xml:space="preserve">, </w:t>
            </w:r>
            <w:r w:rsidR="00432015" w:rsidRPr="00CA7EE9">
              <w:rPr>
                <w:rFonts w:ascii="DejaVu Sans Mono" w:hAnsi="DejaVu Sans Mono" w:cs="DejaVu Sans Mono"/>
                <w:sz w:val="20"/>
                <w:szCs w:val="20"/>
              </w:rPr>
              <w:t>identifiers.org</w:t>
            </w:r>
            <w:r w:rsidR="00432015" w:rsidRPr="00CA7EE9">
              <w:rPr>
                <w:rFonts w:ascii="DejaVu Sans" w:hAnsi="DejaVu Sans" w:cs="DejaVu Sans"/>
              </w:rPr>
              <w:t>)</w:t>
            </w:r>
          </w:p>
          <w:p w14:paraId="2D382A52" w14:textId="77777777" w:rsidR="00840E22" w:rsidRPr="00CA7EE9" w:rsidRDefault="00840E22" w:rsidP="00974B13">
            <w:pPr>
              <w:ind w:left="360"/>
              <w:rPr>
                <w:rFonts w:ascii="DejaVu Sans" w:hAnsi="DejaVu Sans" w:cs="DejaVu Sans"/>
              </w:rPr>
            </w:pPr>
            <w:r w:rsidRPr="00CA7EE9">
              <w:rPr>
                <w:rFonts w:ascii="DejaVu Sans" w:hAnsi="DejaVu Sans" w:cs="DejaVu Sans"/>
              </w:rPr>
              <w:t>If either or both of the above suggest significant impending growth, support for resolvers and agreement about resolver protocols may need to move from pr</w:t>
            </w:r>
            <w:r w:rsidRPr="00CA7EE9">
              <w:rPr>
                <w:rFonts w:ascii="DejaVu Sans" w:hAnsi="DejaVu Sans" w:cs="DejaVu Sans"/>
              </w:rPr>
              <w:t>i</w:t>
            </w:r>
            <w:r w:rsidRPr="00CA7EE9">
              <w:rPr>
                <w:rFonts w:ascii="DejaVu Sans" w:hAnsi="DejaVu Sans" w:cs="DejaVu Sans"/>
              </w:rPr>
              <w:t>vate to public hands, or at least become publicly-supported.</w:t>
            </w:r>
          </w:p>
          <w:p w14:paraId="72DCEA10" w14:textId="20C000C6" w:rsidR="00840E22" w:rsidRPr="00CA7EE9" w:rsidRDefault="00974B13" w:rsidP="00974B13">
            <w:pPr>
              <w:rPr>
                <w:rFonts w:ascii="DejaVu Sans" w:hAnsi="DejaVu Sans" w:cs="DejaVu Sans"/>
              </w:rPr>
            </w:pPr>
            <w:r w:rsidRPr="00CA7EE9">
              <w:rPr>
                <w:rFonts w:ascii="DejaVu Sans" w:hAnsi="DejaVu Sans" w:cs="DejaVu Sans"/>
                <w:b/>
              </w:rPr>
              <w:t>Objective 3</w:t>
            </w:r>
            <w:r w:rsidRPr="00CA7EE9">
              <w:rPr>
                <w:rFonts w:ascii="DejaVu Sans" w:hAnsi="DejaVu Sans" w:cs="DejaVu Sans"/>
                <w:sz w:val="24"/>
                <w:szCs w:val="24"/>
              </w:rPr>
              <w:t xml:space="preserve">: </w:t>
            </w:r>
            <w:r w:rsidRPr="00CA7EE9">
              <w:rPr>
                <w:rFonts w:ascii="DejaVu Sans" w:hAnsi="DejaVu Sans" w:cs="DejaVu Sans"/>
              </w:rPr>
              <w:t xml:space="preserve">Measure the </w:t>
            </w:r>
            <w:r w:rsidR="00840E22" w:rsidRPr="00CA7EE9">
              <w:rPr>
                <w:rFonts w:ascii="DejaVu Sans" w:hAnsi="DejaVu Sans" w:cs="DejaVu Sans"/>
              </w:rPr>
              <w:t>increase in fanout (the number of HTTP requests r</w:t>
            </w:r>
            <w:r w:rsidR="00840E22" w:rsidRPr="00CA7EE9">
              <w:rPr>
                <w:rFonts w:ascii="DejaVu Sans" w:hAnsi="DejaVu Sans" w:cs="DejaVu Sans"/>
              </w:rPr>
              <w:t>e</w:t>
            </w:r>
            <w:r w:rsidR="00840E22" w:rsidRPr="00CA7EE9">
              <w:rPr>
                <w:rFonts w:ascii="DejaVu Sans" w:hAnsi="DejaVu Sans" w:cs="DejaVu Sans"/>
              </w:rPr>
              <w:t>quired to render a single web page</w:t>
            </w:r>
            <w:r w:rsidRPr="00CA7EE9">
              <w:rPr>
                <w:rFonts w:ascii="DejaVu Sans" w:hAnsi="DejaVu Sans" w:cs="DejaVu Sans"/>
              </w:rPr>
              <w:t>)</w:t>
            </w:r>
          </w:p>
          <w:p w14:paraId="5AB0066A" w14:textId="77777777" w:rsidR="00974B13" w:rsidRPr="00CA7EE9" w:rsidRDefault="00840E22" w:rsidP="00974B13">
            <w:pPr>
              <w:pStyle w:val="ListParagraph"/>
              <w:numPr>
                <w:ilvl w:val="0"/>
                <w:numId w:val="5"/>
              </w:numPr>
              <w:rPr>
                <w:rFonts w:ascii="DejaVu Sans" w:hAnsi="DejaVu Sans" w:cs="DejaVu Sans"/>
              </w:rPr>
            </w:pPr>
            <w:r w:rsidRPr="00CA7EE9">
              <w:rPr>
                <w:rFonts w:ascii="DejaVu Sans" w:hAnsi="DejaVu Sans" w:cs="DejaVu Sans"/>
              </w:rPr>
              <w:t>Prioritising aspects of HTTP protocol development/replacement depends in part on predicting this</w:t>
            </w:r>
            <w:r w:rsidR="006A0E71" w:rsidRPr="00CA7EE9">
              <w:rPr>
                <w:rFonts w:ascii="DejaVu Sans" w:hAnsi="DejaVu Sans" w:cs="DejaVu Sans"/>
              </w:rPr>
              <w:t>.</w:t>
            </w:r>
          </w:p>
          <w:p w14:paraId="3A23BC3C" w14:textId="77777777" w:rsidR="002932AC" w:rsidRPr="00CA7EE9" w:rsidRDefault="00974B13" w:rsidP="004752C4">
            <w:pPr>
              <w:rPr>
                <w:rFonts w:ascii="DejaVu Sans" w:hAnsi="DejaVu Sans" w:cs="DejaVu Sans"/>
              </w:rPr>
            </w:pPr>
            <w:r w:rsidRPr="00CA7EE9">
              <w:rPr>
                <w:rFonts w:ascii="DejaVu Sans" w:hAnsi="DejaVu Sans" w:cs="DejaVu Sans"/>
                <w:b/>
              </w:rPr>
              <w:t>Objective 4</w:t>
            </w:r>
            <w:r w:rsidRPr="00CA7EE9">
              <w:rPr>
                <w:rFonts w:ascii="DejaVu Sans" w:hAnsi="DejaVu Sans" w:cs="DejaVu Sans"/>
                <w:sz w:val="24"/>
                <w:szCs w:val="24"/>
              </w:rPr>
              <w:t xml:space="preserve">: </w:t>
            </w:r>
            <w:r w:rsidR="004752C4" w:rsidRPr="00CA7EE9">
              <w:rPr>
                <w:rFonts w:ascii="DejaVu Sans" w:hAnsi="DejaVu Sans" w:cs="DejaVu Sans"/>
              </w:rPr>
              <w:t>Cross-validate all the above analyses by splitting the 10 months of data from five years available to us and comparing the results from the two five-year longitudinal samples</w:t>
            </w:r>
          </w:p>
          <w:p w14:paraId="77DCA7F5" w14:textId="785ADF39" w:rsidR="004752C4" w:rsidRPr="004752C4" w:rsidRDefault="008A1F14" w:rsidP="004752C4">
            <w:pPr>
              <w:pStyle w:val="ListParagraph"/>
              <w:numPr>
                <w:ilvl w:val="0"/>
                <w:numId w:val="5"/>
              </w:numPr>
              <w:rPr>
                <w:sz w:val="24"/>
                <w:szCs w:val="24"/>
              </w:rPr>
            </w:pPr>
            <w:r w:rsidRPr="00CA7EE9">
              <w:rPr>
                <w:rFonts w:ascii="DejaVu Sans" w:hAnsi="DejaVu Sans" w:cs="DejaVu Sans"/>
              </w:rPr>
              <w:t>This will give some measure of the extent to which CC is a ‘good’ sample of the Web.</w:t>
            </w:r>
          </w:p>
        </w:tc>
      </w:tr>
    </w:tbl>
    <w:p w14:paraId="73143203" w14:textId="39DF274D" w:rsidR="00326E5F" w:rsidRDefault="00326E5F" w:rsidP="008E68A7">
      <w:pPr>
        <w:tabs>
          <w:tab w:val="left" w:pos="1985"/>
        </w:tabs>
        <w:ind w:hanging="142"/>
        <w:rPr>
          <w:rFonts w:ascii="Verdana" w:hAnsi="Verdana"/>
          <w:b/>
        </w:rPr>
      </w:pPr>
    </w:p>
    <w:p w14:paraId="0E7142F8" w14:textId="77777777" w:rsidR="00326E5F" w:rsidRDefault="00326E5F">
      <w:pPr>
        <w:rPr>
          <w:rFonts w:ascii="Verdana" w:hAnsi="Verdana"/>
          <w:b/>
        </w:rPr>
      </w:pPr>
      <w:r>
        <w:rPr>
          <w:rFonts w:ascii="Verdana" w:hAnsi="Verdana"/>
          <w:b/>
        </w:rPr>
        <w:br w:type="page"/>
      </w:r>
    </w:p>
    <w:p w14:paraId="57FA52EB" w14:textId="23F248C0" w:rsidR="00326E5F" w:rsidRPr="00693CE1" w:rsidRDefault="00036BFE" w:rsidP="00326E5F">
      <w:pPr>
        <w:spacing w:after="0" w:line="240" w:lineRule="auto"/>
        <w:rPr>
          <w:rFonts w:ascii="Verdana" w:hAnsi="Verdana"/>
        </w:rPr>
      </w:pPr>
      <w:r>
        <w:rPr>
          <w:rFonts w:ascii="Verdana" w:hAnsi="Verdana"/>
          <w:b/>
        </w:rPr>
        <w:lastRenderedPageBreak/>
        <w:t>Description of proposed research and its context</w:t>
      </w:r>
      <w:r w:rsidR="00326E5F" w:rsidRPr="00693CE1">
        <w:rPr>
          <w:rFonts w:ascii="Verdana" w:hAnsi="Verdana"/>
        </w:rPr>
        <w:t xml:space="preserve"> (</w:t>
      </w:r>
      <w:r>
        <w:rPr>
          <w:rFonts w:ascii="Verdana" w:hAnsi="Verdana"/>
        </w:rPr>
        <w:t>up to</w:t>
      </w:r>
      <w:r w:rsidR="00326E5F" w:rsidRPr="00693CE1">
        <w:rPr>
          <w:rFonts w:ascii="Verdana" w:hAnsi="Verdana"/>
        </w:rPr>
        <w:t xml:space="preserve"> 2 pages)</w:t>
      </w:r>
    </w:p>
    <w:p w14:paraId="394BE6F9" w14:textId="77777777" w:rsidR="00326E5F" w:rsidRPr="00693CE1" w:rsidRDefault="00326E5F" w:rsidP="00326E5F">
      <w:pPr>
        <w:spacing w:after="120" w:line="240" w:lineRule="auto"/>
        <w:rPr>
          <w:rFonts w:ascii="Verdana" w:hAnsi="Verdana"/>
        </w:rPr>
      </w:pPr>
    </w:p>
    <w:tbl>
      <w:tblPr>
        <w:tblStyle w:val="TableGrid"/>
        <w:tblW w:w="0" w:type="auto"/>
        <w:tblLook w:val="04A0" w:firstRow="1" w:lastRow="0" w:firstColumn="1" w:lastColumn="0" w:noHBand="0" w:noVBand="1"/>
      </w:tblPr>
      <w:tblGrid>
        <w:gridCol w:w="9242"/>
      </w:tblGrid>
      <w:tr w:rsidR="00326E5F" w:rsidRPr="00693CE1" w14:paraId="0FB3791C" w14:textId="77777777" w:rsidTr="001B54EF">
        <w:trPr>
          <w:trHeight w:val="11819"/>
        </w:trPr>
        <w:tc>
          <w:tcPr>
            <w:tcW w:w="9242" w:type="dxa"/>
          </w:tcPr>
          <w:p w14:paraId="1E119C25" w14:textId="24F3F0B4" w:rsidR="00381751" w:rsidRPr="00CA7EE9" w:rsidRDefault="00CA7EE9" w:rsidP="00CA7EE9">
            <w:pPr>
              <w:spacing w:after="120"/>
              <w:rPr>
                <w:rFonts w:ascii="DejaVu Sans" w:hAnsi="DejaVu Sans" w:cs="DejaVu Sans"/>
              </w:rPr>
            </w:pPr>
            <w:r>
              <w:rPr>
                <w:rFonts w:ascii="DejaVu Sans" w:hAnsi="DejaVu Sans" w:cs="DejaVu Sans"/>
                <w:b/>
              </w:rPr>
              <w:t xml:space="preserve">Context: </w:t>
            </w:r>
            <w:r w:rsidR="00D35215" w:rsidRPr="00CA7EE9">
              <w:rPr>
                <w:rFonts w:ascii="DejaVu Sans" w:hAnsi="DejaVu Sans" w:cs="DejaVu Sans"/>
              </w:rPr>
              <w:t xml:space="preserve">Empirical evidence of how use of the Web has changed in the past provides crucial input to decisions about its future. </w:t>
            </w:r>
            <w:r w:rsidR="00381751" w:rsidRPr="00CA7EE9">
              <w:rPr>
                <w:rFonts w:ascii="DejaVu Sans" w:hAnsi="DejaVu Sans" w:cs="DejaVu Sans"/>
              </w:rPr>
              <w:t xml:space="preserve">  Creative uses of the mech</w:t>
            </w:r>
            <w:r w:rsidR="00381751" w:rsidRPr="00CA7EE9">
              <w:rPr>
                <w:rFonts w:ascii="DejaVu Sans" w:hAnsi="DejaVu Sans" w:cs="DejaVu Sans"/>
              </w:rPr>
              <w:t>a</w:t>
            </w:r>
            <w:r w:rsidR="00381751" w:rsidRPr="00CA7EE9">
              <w:rPr>
                <w:rFonts w:ascii="DejaVu Sans" w:hAnsi="DejaVu Sans" w:cs="DejaVu Sans"/>
              </w:rPr>
              <w:t>nisms the Web provides expand its potential, but also sometimes put it at risk, so it’s worrying that there’s surprisingly little empirical evidence available to guide standardization and planning more generally. Which aspects of the Web’s fun</w:t>
            </w:r>
            <w:r w:rsidR="00381751" w:rsidRPr="00CA7EE9">
              <w:rPr>
                <w:rFonts w:ascii="DejaVu Sans" w:hAnsi="DejaVu Sans" w:cs="DejaVu Sans"/>
              </w:rPr>
              <w:t>c</w:t>
            </w:r>
            <w:r w:rsidR="00381751" w:rsidRPr="00CA7EE9">
              <w:rPr>
                <w:rFonts w:ascii="DejaVu Sans" w:hAnsi="DejaVu Sans" w:cs="DejaVu Sans"/>
              </w:rPr>
              <w:t>tionality are widely used? Hardly ever used? How is this changing over time?</w:t>
            </w:r>
          </w:p>
          <w:p w14:paraId="0C338C25" w14:textId="53F3B9AA" w:rsidR="00D35215" w:rsidRPr="00CA7EE9" w:rsidRDefault="00381751" w:rsidP="00CA7EE9">
            <w:pPr>
              <w:spacing w:after="120"/>
              <w:rPr>
                <w:rFonts w:ascii="DejaVu Sans" w:hAnsi="DejaVu Sans" w:cs="DejaVu Sans"/>
              </w:rPr>
            </w:pPr>
            <w:r w:rsidRPr="00CA7EE9">
              <w:rPr>
                <w:rFonts w:ascii="DejaVu Sans" w:hAnsi="DejaVu Sans" w:cs="DejaVu Sans"/>
              </w:rPr>
              <w:t xml:space="preserve">The kind of evidence needed to answer such questions </w:t>
            </w:r>
            <w:r w:rsidR="001B54EF">
              <w:rPr>
                <w:rFonts w:ascii="DejaVu Sans" w:hAnsi="DejaVu Sans" w:cs="DejaVu Sans"/>
              </w:rPr>
              <w:t>is</w:t>
            </w:r>
            <w:r w:rsidRPr="00CA7EE9">
              <w:rPr>
                <w:rFonts w:ascii="DejaVu Sans" w:hAnsi="DejaVu Sans" w:cs="DejaVu Sans"/>
              </w:rPr>
              <w:t xml:space="preserve"> hard to come by.   The proposed research builds on our previous work in this area</w:t>
            </w:r>
            <w:r w:rsidR="00722A4C" w:rsidRPr="00CA7EE9">
              <w:rPr>
                <w:rFonts w:ascii="DejaVu Sans" w:hAnsi="DejaVu Sans" w:cs="DejaVu Sans"/>
              </w:rPr>
              <w:t xml:space="preserve"> </w:t>
            </w:r>
            <w:r w:rsidR="00722A4C" w:rsidRPr="00CA7EE9">
              <w:rPr>
                <w:rFonts w:ascii="DejaVu Sans" w:hAnsi="DejaVu Sans" w:cs="DejaVu Sans"/>
                <w:b/>
              </w:rPr>
              <w:t>[</w:t>
            </w:r>
            <w:r w:rsidR="00D91A21">
              <w:rPr>
                <w:rFonts w:ascii="DejaVu Sans" w:hAnsi="DejaVu Sans" w:cs="DejaVu Sans"/>
                <w:b/>
              </w:rPr>
              <w:t>4</w:t>
            </w:r>
            <w:r w:rsidR="00722A4C" w:rsidRPr="00CA7EE9">
              <w:rPr>
                <w:rFonts w:ascii="DejaVu Sans" w:hAnsi="DejaVu Sans" w:cs="DejaVu Sans"/>
                <w:b/>
              </w:rPr>
              <w:t>]</w:t>
            </w:r>
            <w:r w:rsidRPr="00CA7EE9">
              <w:rPr>
                <w:rFonts w:ascii="DejaVu Sans" w:hAnsi="DejaVu Sans" w:cs="DejaVu Sans"/>
              </w:rPr>
              <w:t>, taking a</w:t>
            </w:r>
            <w:r w:rsidRPr="00CA7EE9">
              <w:rPr>
                <w:rFonts w:ascii="DejaVu Sans" w:hAnsi="DejaVu Sans" w:cs="DejaVu Sans"/>
              </w:rPr>
              <w:t>d</w:t>
            </w:r>
            <w:r w:rsidRPr="00CA7EE9">
              <w:rPr>
                <w:rFonts w:ascii="DejaVu Sans" w:hAnsi="DejaVu Sans" w:cs="DejaVu Sans"/>
              </w:rPr>
              <w:t>vantage of the much larger computational resource Cirrus would provide to e</w:t>
            </w:r>
            <w:r w:rsidRPr="00CA7EE9">
              <w:rPr>
                <w:rFonts w:ascii="DejaVu Sans" w:hAnsi="DejaVu Sans" w:cs="DejaVu Sans"/>
              </w:rPr>
              <w:t>x</w:t>
            </w:r>
            <w:r w:rsidRPr="00CA7EE9">
              <w:rPr>
                <w:rFonts w:ascii="DejaVu Sans" w:hAnsi="DejaVu Sans" w:cs="DejaVu Sans"/>
              </w:rPr>
              <w:t>tend both the granularity (</w:t>
            </w:r>
            <w:r w:rsidR="001B54EF">
              <w:rPr>
                <w:rFonts w:ascii="DejaVu Sans" w:hAnsi="DejaVu Sans" w:cs="DejaVu Sans"/>
              </w:rPr>
              <w:t>by exploiting page header timestamps</w:t>
            </w:r>
            <w:r w:rsidRPr="00CA7EE9">
              <w:rPr>
                <w:rFonts w:ascii="DejaVu Sans" w:hAnsi="DejaVu Sans" w:cs="DejaVu Sans"/>
              </w:rPr>
              <w:t>) and extent (from 3-year to 5-year) of our previous longitudinal studies based on the Common Crawl web a</w:t>
            </w:r>
            <w:r w:rsidRPr="00CA7EE9">
              <w:rPr>
                <w:rFonts w:ascii="DejaVu Sans" w:hAnsi="DejaVu Sans" w:cs="DejaVu Sans"/>
              </w:rPr>
              <w:t>r</w:t>
            </w:r>
            <w:r w:rsidRPr="00CA7EE9">
              <w:rPr>
                <w:rFonts w:ascii="DejaVu Sans" w:hAnsi="DejaVu Sans" w:cs="DejaVu Sans"/>
              </w:rPr>
              <w:t>chive.</w:t>
            </w:r>
          </w:p>
          <w:p w14:paraId="7C0089A3" w14:textId="7D1D06D6" w:rsidR="00EA65F9" w:rsidRDefault="00D35215" w:rsidP="00CA7EE9">
            <w:pPr>
              <w:spacing w:after="120"/>
              <w:rPr>
                <w:rFonts w:ascii="DejaVu Sans" w:hAnsi="DejaVu Sans" w:cs="DejaVu Sans"/>
              </w:rPr>
            </w:pPr>
            <w:r w:rsidRPr="00CA7EE9">
              <w:rPr>
                <w:rFonts w:ascii="DejaVu Sans" w:hAnsi="DejaVu Sans" w:cs="DejaVu Sans"/>
              </w:rPr>
              <w:t xml:space="preserve">Common Crawl </w:t>
            </w:r>
            <w:r w:rsidR="00381751" w:rsidRPr="00CA7EE9">
              <w:rPr>
                <w:rFonts w:ascii="DejaVu Sans" w:hAnsi="DejaVu Sans" w:cs="DejaVu Sans"/>
              </w:rPr>
              <w:t xml:space="preserve">(CC) </w:t>
            </w:r>
            <w:r w:rsidRPr="00CA7EE9">
              <w:rPr>
                <w:rFonts w:ascii="DejaVu Sans" w:hAnsi="DejaVu Sans" w:cs="DejaVu Sans"/>
              </w:rPr>
              <w:t>is a very-large-scale web archive</w:t>
            </w:r>
            <w:r w:rsidR="00AC1F75" w:rsidRPr="00CA7EE9">
              <w:rPr>
                <w:rFonts w:ascii="DejaVu Sans" w:hAnsi="DejaVu Sans" w:cs="DejaVu Sans"/>
              </w:rPr>
              <w:t>,</w:t>
            </w:r>
            <w:r w:rsidRPr="00CA7EE9">
              <w:rPr>
                <w:rFonts w:ascii="DejaVu Sans" w:hAnsi="DejaVu Sans" w:cs="DejaVu Sans"/>
              </w:rPr>
              <w:t xml:space="preserve"> containing petabytes of data from more than 60 monthly crawls, </w:t>
            </w:r>
            <w:r w:rsidR="00AC1F75" w:rsidRPr="00CA7EE9">
              <w:rPr>
                <w:rFonts w:ascii="DejaVu Sans" w:hAnsi="DejaVu Sans" w:cs="DejaVu Sans"/>
              </w:rPr>
              <w:t>totalling</w:t>
            </w:r>
            <w:r w:rsidRPr="00CA7EE9">
              <w:rPr>
                <w:rFonts w:ascii="DejaVu Sans" w:hAnsi="DejaVu Sans" w:cs="DejaVu Sans"/>
              </w:rPr>
              <w:t xml:space="preserve"> over 100 billion web pages.  </w:t>
            </w:r>
            <w:r w:rsidR="00AC1F75" w:rsidRPr="00CA7EE9">
              <w:rPr>
                <w:rFonts w:ascii="DejaVu Sans" w:hAnsi="DejaVu Sans" w:cs="DejaVu Sans"/>
              </w:rPr>
              <w:t>Collection began in 2008 with annual crawls, expanding steadily to the point that since 2017 crawls happen monthly. Recent</w:t>
            </w:r>
            <w:r w:rsidRPr="00CA7EE9">
              <w:rPr>
                <w:rFonts w:ascii="DejaVu Sans" w:hAnsi="DejaVu Sans" w:cs="DejaVu Sans"/>
              </w:rPr>
              <w:t xml:space="preserve"> months contain over 3x10</w:t>
            </w:r>
            <w:r w:rsidRPr="00CA7EE9">
              <w:rPr>
                <w:rFonts w:ascii="DejaVu Sans" w:hAnsi="DejaVu Sans" w:cs="DejaVu Sans"/>
                <w:vertAlign w:val="superscript"/>
              </w:rPr>
              <w:t>9</w:t>
            </w:r>
            <w:r w:rsidRPr="00CA7EE9">
              <w:rPr>
                <w:rFonts w:ascii="DejaVu Sans" w:hAnsi="DejaVu Sans" w:cs="DejaVu Sans"/>
              </w:rPr>
              <w:t xml:space="preserve"> pages, about 50 Terabytes (compressed).</w:t>
            </w:r>
            <w:r w:rsidR="00AC1F75" w:rsidRPr="00CA7EE9">
              <w:rPr>
                <w:rFonts w:ascii="DejaVu Sans" w:hAnsi="DejaVu Sans" w:cs="DejaVu Sans"/>
              </w:rPr>
              <w:t xml:space="preserve">  Together with Edinburgh colleagues we have created local copies of 7 months of CC in a petabyte store attached to Cirrus, and this project would enable us to add 3 more.</w:t>
            </w:r>
            <w:r w:rsidR="00EA65F9" w:rsidRPr="00CA7EE9">
              <w:rPr>
                <w:rFonts w:ascii="DejaVu Sans" w:hAnsi="DejaVu Sans" w:cs="DejaVu Sans"/>
              </w:rPr>
              <w:t xml:space="preserve">  Earlier work was slow because we were restricted to streaming access from CC originals stored on Amazon S3 in California, but we now, with 10 months attached to Cirrus, we can do much lar</w:t>
            </w:r>
            <w:r w:rsidR="00EA65F9" w:rsidRPr="00CA7EE9">
              <w:rPr>
                <w:rFonts w:ascii="DejaVu Sans" w:hAnsi="DejaVu Sans" w:cs="DejaVu Sans"/>
              </w:rPr>
              <w:t>g</w:t>
            </w:r>
            <w:r w:rsidR="00EA65F9" w:rsidRPr="00CA7EE9">
              <w:rPr>
                <w:rFonts w:ascii="DejaVu Sans" w:hAnsi="DejaVu Sans" w:cs="DejaVu Sans"/>
              </w:rPr>
              <w:t xml:space="preserve">er scale analysis </w:t>
            </w:r>
            <w:r w:rsidR="00CA7EE9">
              <w:rPr>
                <w:rFonts w:ascii="DejaVu Sans" w:hAnsi="DejaVu Sans" w:cs="DejaVu Sans"/>
              </w:rPr>
              <w:t>in more detail</w:t>
            </w:r>
            <w:r w:rsidR="00EA65F9" w:rsidRPr="00CA7EE9">
              <w:rPr>
                <w:rFonts w:ascii="DejaVu Sans" w:hAnsi="DejaVu Sans" w:cs="DejaVu Sans"/>
              </w:rPr>
              <w:t>.</w:t>
            </w:r>
          </w:p>
          <w:p w14:paraId="294A34B1" w14:textId="0DD07384" w:rsidR="001B54EF" w:rsidRPr="00D91A21" w:rsidRDefault="00CA7EE9" w:rsidP="00CA7EE9">
            <w:pPr>
              <w:spacing w:after="120"/>
              <w:rPr>
                <w:rFonts w:ascii="DejaVu Sans" w:hAnsi="DejaVu Sans" w:cs="DejaVu Sans"/>
              </w:rPr>
            </w:pPr>
            <w:r>
              <w:rPr>
                <w:rFonts w:ascii="DejaVu Sans" w:hAnsi="DejaVu Sans" w:cs="DejaVu Sans"/>
                <w:b/>
              </w:rPr>
              <w:t>Research:</w:t>
            </w:r>
            <w:r>
              <w:rPr>
                <w:rFonts w:ascii="DejaVu Sans" w:hAnsi="DejaVu Sans" w:cs="DejaVu Sans"/>
              </w:rPr>
              <w:t xml:space="preserve">  </w:t>
            </w:r>
            <w:r w:rsidR="001B54EF">
              <w:rPr>
                <w:rFonts w:ascii="DejaVu Sans" w:hAnsi="DejaVu Sans" w:cs="DejaVu Sans"/>
              </w:rPr>
              <w:t xml:space="preserve">The focus of our work is on using the </w:t>
            </w:r>
            <w:r w:rsidR="001B54EF">
              <w:rPr>
                <w:rFonts w:ascii="DejaVu Sans" w:hAnsi="DejaVu Sans" w:cs="DejaVu Sans"/>
                <w:i/>
              </w:rPr>
              <w:t>content</w:t>
            </w:r>
            <w:r w:rsidR="001B54EF">
              <w:rPr>
                <w:rFonts w:ascii="DejaVu Sans" w:hAnsi="DejaVu Sans" w:cs="DejaVu Sans"/>
              </w:rPr>
              <w:t xml:space="preserve"> of the Web to help track and predict the </w:t>
            </w:r>
            <w:r w:rsidR="00D91A21">
              <w:rPr>
                <w:rFonts w:ascii="DejaVu Sans" w:hAnsi="DejaVu Sans" w:cs="DejaVu Sans"/>
                <w:i/>
              </w:rPr>
              <w:t>functioning</w:t>
            </w:r>
            <w:r w:rsidR="00D91A21">
              <w:rPr>
                <w:rFonts w:ascii="DejaVu Sans" w:hAnsi="DejaVu Sans" w:cs="DejaVu Sans"/>
              </w:rPr>
              <w:t xml:space="preserve"> of the web.  By looking at web page content, in particular at the kinds of links that pages contain, and where in the pages they occur, we can learn what aspects of Web architecture are gaining or losing pop</w:t>
            </w:r>
            <w:r w:rsidR="00D91A21">
              <w:rPr>
                <w:rFonts w:ascii="DejaVu Sans" w:hAnsi="DejaVu Sans" w:cs="DejaVu Sans"/>
              </w:rPr>
              <w:t>u</w:t>
            </w:r>
            <w:r w:rsidR="00D91A21">
              <w:rPr>
                <w:rFonts w:ascii="DejaVu Sans" w:hAnsi="DejaVu Sans" w:cs="DejaVu Sans"/>
              </w:rPr>
              <w:t>larity.</w:t>
            </w:r>
          </w:p>
          <w:p w14:paraId="6CD7D33B" w14:textId="1ED440EC" w:rsidR="00CA7EE9" w:rsidRDefault="00CA7EE9" w:rsidP="00CA7EE9">
            <w:pPr>
              <w:spacing w:after="120"/>
              <w:rPr>
                <w:rFonts w:ascii="DejaVu Sans" w:hAnsi="DejaVu Sans" w:cs="DejaVu Sans"/>
              </w:rPr>
            </w:pPr>
            <w:r>
              <w:rPr>
                <w:rFonts w:ascii="DejaVu Sans" w:hAnsi="DejaVu Sans" w:cs="DejaVu Sans"/>
              </w:rPr>
              <w:t>Our existing work with CC data has been limited in a number of ways which the proposed work will address:</w:t>
            </w:r>
          </w:p>
          <w:p w14:paraId="1E06B03C" w14:textId="00AB0128" w:rsidR="00CA7EE9" w:rsidRDefault="00D91A21" w:rsidP="00CA7EE9">
            <w:pPr>
              <w:pStyle w:val="ListParagraph"/>
              <w:numPr>
                <w:ilvl w:val="0"/>
                <w:numId w:val="5"/>
              </w:numPr>
              <w:spacing w:after="120"/>
              <w:rPr>
                <w:rFonts w:ascii="DejaVu Sans" w:hAnsi="DejaVu Sans" w:cs="DejaVu Sans"/>
              </w:rPr>
            </w:pPr>
            <w:r>
              <w:rPr>
                <w:rFonts w:ascii="DejaVu Sans" w:hAnsi="DejaVu Sans" w:cs="DejaVu Sans"/>
              </w:rPr>
              <w:t>Our previous work used o</w:t>
            </w:r>
            <w:r w:rsidR="002806BE">
              <w:rPr>
                <w:rFonts w:ascii="DejaVu Sans" w:hAnsi="DejaVu Sans" w:cs="DejaVu Sans"/>
              </w:rPr>
              <w:t xml:space="preserve">ne </w:t>
            </w:r>
            <w:r>
              <w:rPr>
                <w:rFonts w:ascii="DejaVu Sans" w:hAnsi="DejaVu Sans" w:cs="DejaVu Sans"/>
              </w:rPr>
              <w:t>one-month CC archive</w:t>
            </w:r>
            <w:r w:rsidR="002806BE">
              <w:rPr>
                <w:rFonts w:ascii="DejaVu Sans" w:hAnsi="DejaVu Sans" w:cs="DejaVu Sans"/>
              </w:rPr>
              <w:t xml:space="preserve"> from each of three years</w:t>
            </w:r>
            <w:r w:rsidR="0013069D">
              <w:rPr>
                <w:rFonts w:ascii="DejaVu Sans" w:hAnsi="DejaVu Sans" w:cs="DejaVu Sans"/>
              </w:rPr>
              <w:t>, streamed over the Internet.  Processing even this limited amount of data in this way with existing Informatics resources took weeks for a single pass.  The proposed work will be able to process two one-month archives from each of five years, in less time.</w:t>
            </w:r>
          </w:p>
          <w:p w14:paraId="32835CE4" w14:textId="3399F3C4" w:rsidR="002806BE" w:rsidRDefault="0013069D" w:rsidP="00CA7EE9">
            <w:pPr>
              <w:pStyle w:val="ListParagraph"/>
              <w:numPr>
                <w:ilvl w:val="0"/>
                <w:numId w:val="5"/>
              </w:numPr>
              <w:spacing w:after="120"/>
              <w:rPr>
                <w:rFonts w:ascii="DejaVu Sans" w:hAnsi="DejaVu Sans" w:cs="DejaVu Sans"/>
              </w:rPr>
            </w:pPr>
            <w:r>
              <w:rPr>
                <w:rFonts w:ascii="DejaVu Sans" w:hAnsi="DejaVu Sans" w:cs="DejaVu Sans"/>
              </w:rPr>
              <w:t>We used CC’s tabulation of the links</w:t>
            </w:r>
            <w:r w:rsidR="003C55F6">
              <w:rPr>
                <w:rFonts w:ascii="DejaVu Sans" w:hAnsi="DejaVu Sans" w:cs="DejaVu Sans"/>
              </w:rPr>
              <w:t xml:space="preserve"> in web pages</w:t>
            </w:r>
            <w:r>
              <w:rPr>
                <w:rFonts w:ascii="DejaVu Sans" w:hAnsi="DejaVu Sans" w:cs="DejaVu Sans"/>
              </w:rPr>
              <w:t>, but this covers only HTML pages.  Cirrus resources will enable us to extract links from PDF pages as well.</w:t>
            </w:r>
          </w:p>
          <w:p w14:paraId="0072C239" w14:textId="14E29176" w:rsidR="002806BE" w:rsidRDefault="003C55F6" w:rsidP="00CA7EE9">
            <w:pPr>
              <w:pStyle w:val="ListParagraph"/>
              <w:numPr>
                <w:ilvl w:val="0"/>
                <w:numId w:val="5"/>
              </w:numPr>
              <w:spacing w:after="120"/>
              <w:rPr>
                <w:rFonts w:ascii="DejaVu Sans" w:hAnsi="DejaVu Sans" w:cs="DejaVu Sans"/>
              </w:rPr>
            </w:pPr>
            <w:r>
              <w:rPr>
                <w:rFonts w:ascii="DejaVu Sans" w:hAnsi="DejaVu Sans" w:cs="DejaVu Sans"/>
              </w:rPr>
              <w:t>We</w:t>
            </w:r>
            <w:r w:rsidR="0013069D">
              <w:rPr>
                <w:rFonts w:ascii="DejaVu Sans" w:hAnsi="DejaVu Sans" w:cs="DejaVu Sans"/>
              </w:rPr>
              <w:t xml:space="preserve"> compared changes </w:t>
            </w:r>
            <w:r>
              <w:rPr>
                <w:rFonts w:ascii="DejaVu Sans" w:hAnsi="DejaVu Sans" w:cs="DejaVu Sans"/>
              </w:rPr>
              <w:t xml:space="preserve">in </w:t>
            </w:r>
            <w:r w:rsidR="0013069D">
              <w:rPr>
                <w:rFonts w:ascii="DejaVu Sans" w:hAnsi="DejaVu Sans" w:cs="DejaVu Sans"/>
              </w:rPr>
              <w:t>web page properties over time by reference to the month the pages were collected.  This is a coarse measurement: in the proposed work we will supplement this by reference to the Last-</w:t>
            </w:r>
            <w:r w:rsidR="0005205C">
              <w:rPr>
                <w:rFonts w:ascii="DejaVu Sans" w:hAnsi="DejaVu Sans" w:cs="DejaVu Sans"/>
              </w:rPr>
              <w:t>M</w:t>
            </w:r>
            <w:r w:rsidR="0013069D">
              <w:rPr>
                <w:rFonts w:ascii="DejaVu Sans" w:hAnsi="DejaVu Sans" w:cs="DejaVu Sans"/>
              </w:rPr>
              <w:t xml:space="preserve">odified </w:t>
            </w:r>
            <w:r w:rsidR="0005205C">
              <w:rPr>
                <w:rFonts w:ascii="DejaVu Sans" w:hAnsi="DejaVu Sans" w:cs="DejaVu Sans"/>
              </w:rPr>
              <w:t>HTTP header</w:t>
            </w:r>
            <w:r>
              <w:rPr>
                <w:rFonts w:ascii="DejaVu Sans" w:hAnsi="DejaVu Sans" w:cs="DejaVu Sans"/>
              </w:rPr>
              <w:t xml:space="preserve"> of each page for which</w:t>
            </w:r>
            <w:r w:rsidR="0005205C">
              <w:rPr>
                <w:rFonts w:ascii="DejaVu Sans" w:hAnsi="DejaVu Sans" w:cs="DejaVu Sans"/>
              </w:rPr>
              <w:t xml:space="preserve"> this is available.</w:t>
            </w:r>
          </w:p>
          <w:p w14:paraId="229B37E5" w14:textId="3602E4C4" w:rsidR="003C55F6" w:rsidRDefault="003C55F6" w:rsidP="0005205C">
            <w:pPr>
              <w:spacing w:after="120"/>
              <w:rPr>
                <w:rFonts w:ascii="DejaVu Sans" w:hAnsi="DejaVu Sans" w:cs="DejaVu Sans"/>
                <w:b/>
              </w:rPr>
            </w:pPr>
            <w:r>
              <w:rPr>
                <w:rFonts w:ascii="DejaVu Sans" w:hAnsi="DejaVu Sans" w:cs="DejaVu Sans"/>
                <w:b/>
              </w:rPr>
              <w:t>Dataset:</w:t>
            </w:r>
            <w:r>
              <w:rPr>
                <w:rFonts w:ascii="DejaVu Sans" w:hAnsi="DejaVu Sans" w:cs="DejaVu Sans"/>
              </w:rPr>
              <w:t xml:space="preserve"> The three studies described below will all start from the same dataset: 10 one-month CC archives</w:t>
            </w:r>
            <w:r w:rsidR="00910083">
              <w:rPr>
                <w:rFonts w:ascii="DejaVu Sans" w:hAnsi="DejaVu Sans" w:cs="DejaVu Sans"/>
              </w:rPr>
              <w:t xml:space="preserve"> held on BeeGFS</w:t>
            </w:r>
            <w:r>
              <w:rPr>
                <w:rFonts w:ascii="DejaVu Sans" w:hAnsi="DejaVu Sans" w:cs="DejaVu Sans"/>
              </w:rPr>
              <w:t xml:space="preserve">, every six months from </w:t>
            </w:r>
            <w:r w:rsidR="00910083">
              <w:rPr>
                <w:rFonts w:ascii="DejaVu Sans" w:hAnsi="DejaVu Sans" w:cs="DejaVu Sans"/>
              </w:rPr>
              <w:t>February</w:t>
            </w:r>
            <w:r>
              <w:rPr>
                <w:rFonts w:ascii="DejaVu Sans" w:hAnsi="DejaVu Sans" w:cs="DejaVu Sans"/>
              </w:rPr>
              <w:t xml:space="preserve"> 20</w:t>
            </w:r>
            <w:r w:rsidR="00910083">
              <w:rPr>
                <w:rFonts w:ascii="DejaVu Sans" w:hAnsi="DejaVu Sans" w:cs="DejaVu Sans"/>
              </w:rPr>
              <w:t>17 through August 2021.  In the case of PDF pages, we’ll augment the CC data by extracting all the links found in each page, and we’ll augment all link tabul</w:t>
            </w:r>
            <w:r w:rsidR="00910083">
              <w:rPr>
                <w:rFonts w:ascii="DejaVu Sans" w:hAnsi="DejaVu Sans" w:cs="DejaVu Sans"/>
              </w:rPr>
              <w:t>a</w:t>
            </w:r>
            <w:r w:rsidR="00910083">
              <w:rPr>
                <w:rFonts w:ascii="DejaVu Sans" w:hAnsi="DejaVu Sans" w:cs="DejaVu Sans"/>
              </w:rPr>
              <w:t>tions (from HTML and PDF pages) with Last-Modified dates when possible.</w:t>
            </w:r>
          </w:p>
          <w:p w14:paraId="52F313EA" w14:textId="6A2CF094" w:rsidR="003C55F6" w:rsidRDefault="003C55F6" w:rsidP="0005205C">
            <w:pPr>
              <w:spacing w:after="120"/>
              <w:rPr>
                <w:rFonts w:ascii="DejaVu Sans" w:hAnsi="DejaVu Sans" w:cs="DejaVu Sans"/>
              </w:rPr>
            </w:pPr>
            <w:r>
              <w:rPr>
                <w:rFonts w:ascii="DejaVu Sans" w:hAnsi="DejaVu Sans" w:cs="DejaVu Sans"/>
                <w:b/>
              </w:rPr>
              <w:t>Specific studies</w:t>
            </w:r>
            <w:r>
              <w:rPr>
                <w:rFonts w:ascii="DejaVu Sans" w:hAnsi="DejaVu Sans" w:cs="DejaVu Sans"/>
                <w:b/>
              </w:rPr>
              <w:t xml:space="preserve">: </w:t>
            </w:r>
            <w:r w:rsidRPr="003C55F6">
              <w:rPr>
                <w:rFonts w:ascii="DejaVu Sans" w:hAnsi="DejaVu Sans" w:cs="DejaVu Sans"/>
                <w:b/>
              </w:rPr>
              <w:t>1)</w:t>
            </w:r>
            <w:r>
              <w:rPr>
                <w:rFonts w:ascii="DejaVu Sans" w:hAnsi="DejaVu Sans" w:cs="DejaVu Sans"/>
              </w:rPr>
              <w:t xml:space="preserve"> </w:t>
            </w:r>
            <w:r w:rsidRPr="003C55F6">
              <w:rPr>
                <w:rFonts w:ascii="DejaVu Sans Mono" w:hAnsi="DejaVu Sans Mono" w:cs="DejaVu Sans Mono"/>
                <w:b/>
              </w:rPr>
              <w:t>http:</w:t>
            </w:r>
            <w:r>
              <w:rPr>
                <w:rFonts w:ascii="DejaVu Sans" w:hAnsi="DejaVu Sans" w:cs="DejaVu Sans"/>
                <w:b/>
              </w:rPr>
              <w:t xml:space="preserve"> vs. </w:t>
            </w:r>
            <w:r w:rsidRPr="003C55F6">
              <w:rPr>
                <w:rFonts w:ascii="DejaVu Sans Mono" w:hAnsi="DejaVu Sans Mono" w:cs="DejaVu Sans Mono"/>
                <w:b/>
              </w:rPr>
              <w:t>https:</w:t>
            </w:r>
            <w:r>
              <w:rPr>
                <w:rFonts w:ascii="DejaVu Sans" w:hAnsi="DejaVu Sans" w:cs="DejaVu Sans"/>
              </w:rPr>
              <w:t xml:space="preserve">  Since the launch of the “Let’s Encrypt” campaign in 2015, there has been a significant shift towards encrypted access to </w:t>
            </w:r>
            <w:r>
              <w:rPr>
                <w:rFonts w:ascii="DejaVu Sans" w:hAnsi="DejaVu Sans" w:cs="DejaVu Sans"/>
              </w:rPr>
              <w:lastRenderedPageBreak/>
              <w:t>web pages.  We will explore the recent time-c</w:t>
            </w:r>
            <w:r w:rsidR="00910083">
              <w:rPr>
                <w:rFonts w:ascii="DejaVu Sans" w:hAnsi="DejaVu Sans" w:cs="DejaVu Sans"/>
              </w:rPr>
              <w:t>ourse of this trend, comparing the trends as found in HTML and PDF pages.  We’re particularly interested to see if the trend is showing signs of levelling off, possibly only in some application ar</w:t>
            </w:r>
            <w:r w:rsidR="00910083">
              <w:rPr>
                <w:rFonts w:ascii="DejaVu Sans" w:hAnsi="DejaVu Sans" w:cs="DejaVu Sans"/>
              </w:rPr>
              <w:t>e</w:t>
            </w:r>
            <w:r w:rsidR="00910083">
              <w:rPr>
                <w:rFonts w:ascii="DejaVu Sans" w:hAnsi="DejaVu Sans" w:cs="DejaVu Sans"/>
              </w:rPr>
              <w:t>as.</w:t>
            </w:r>
          </w:p>
          <w:p w14:paraId="591641A5" w14:textId="2B0FB6B6" w:rsidR="00910083" w:rsidRDefault="00910083" w:rsidP="0005205C">
            <w:pPr>
              <w:spacing w:after="120"/>
              <w:rPr>
                <w:rFonts w:ascii="DejaVu Sans" w:hAnsi="DejaVu Sans" w:cs="DejaVu Sans"/>
              </w:rPr>
            </w:pPr>
            <w:r>
              <w:rPr>
                <w:rFonts w:ascii="DejaVu Sans" w:hAnsi="DejaVu Sans" w:cs="DejaVu Sans"/>
                <w:b/>
              </w:rPr>
              <w:t>2) Persistent identifiers</w:t>
            </w:r>
            <w:r w:rsidR="003F3E80">
              <w:rPr>
                <w:rFonts w:ascii="DejaVu Sans" w:hAnsi="DejaVu Sans" w:cs="DejaVu Sans"/>
                <w:b/>
              </w:rPr>
              <w:t xml:space="preserve"> (PIDs)</w:t>
            </w:r>
            <w:r>
              <w:rPr>
                <w:rFonts w:ascii="DejaVu Sans" w:hAnsi="DejaVu Sans" w:cs="DejaVu Sans"/>
                <w:b/>
              </w:rPr>
              <w:t xml:space="preserve">: </w:t>
            </w:r>
            <w:r>
              <w:rPr>
                <w:rFonts w:ascii="DejaVu Sans" w:hAnsi="DejaVu Sans" w:cs="DejaVu Sans"/>
              </w:rPr>
              <w:t xml:space="preserve">Academic journals have begun requiring the use of </w:t>
            </w:r>
            <w:r w:rsidR="003F3E80">
              <w:rPr>
                <w:rFonts w:ascii="DejaVu Sans" w:hAnsi="DejaVu Sans" w:cs="DejaVu Sans"/>
              </w:rPr>
              <w:t>Digital Object Identifiers(DOIs) in the articles they publish.  We suspect that our previous study of DOI use significantly under-estimated it, because it o</w:t>
            </w:r>
            <w:r w:rsidR="003F3E80">
              <w:rPr>
                <w:rFonts w:ascii="DejaVu Sans" w:hAnsi="DejaVu Sans" w:cs="DejaVu Sans"/>
              </w:rPr>
              <w:t>n</w:t>
            </w:r>
            <w:r w:rsidR="003F3E80">
              <w:rPr>
                <w:rFonts w:ascii="DejaVu Sans" w:hAnsi="DejaVu Sans" w:cs="DejaVu Sans"/>
              </w:rPr>
              <w:t>ly looked at links in HTML pages, whereas virtually all journals publish online u</w:t>
            </w:r>
            <w:r w:rsidR="003F3E80">
              <w:rPr>
                <w:rFonts w:ascii="DejaVu Sans" w:hAnsi="DejaVu Sans" w:cs="DejaVu Sans"/>
              </w:rPr>
              <w:t>s</w:t>
            </w:r>
            <w:r w:rsidR="003F3E80">
              <w:rPr>
                <w:rFonts w:ascii="DejaVu Sans" w:hAnsi="DejaVu Sans" w:cs="DejaVu Sans"/>
              </w:rPr>
              <w:t>ing PDF.  We can now remedy this, and compare PID use between HTML and PDF.</w:t>
            </w:r>
            <w:r w:rsidR="00601BC6">
              <w:rPr>
                <w:rFonts w:ascii="DejaVu Sans" w:hAnsi="DejaVu Sans" w:cs="DejaVu Sans"/>
              </w:rPr>
              <w:t xml:space="preserve">  We’ll also compare the use of generic versus single-scheme resolver hosts in PID links, which is of critical importance for projecting server demand.</w:t>
            </w:r>
          </w:p>
          <w:p w14:paraId="739E8F7F" w14:textId="36435027" w:rsidR="003F3E80" w:rsidRPr="003F3E80" w:rsidRDefault="003F3E80" w:rsidP="0005205C">
            <w:pPr>
              <w:spacing w:after="120"/>
              <w:rPr>
                <w:rFonts w:ascii="DejaVu Sans" w:hAnsi="DejaVu Sans" w:cs="DejaVu Sans"/>
              </w:rPr>
            </w:pPr>
            <w:r>
              <w:rPr>
                <w:rFonts w:ascii="DejaVu Sans" w:hAnsi="DejaVu Sans" w:cs="DejaVu Sans"/>
                <w:b/>
              </w:rPr>
              <w:t>3) Fanout:</w:t>
            </w:r>
            <w:r>
              <w:rPr>
                <w:rFonts w:ascii="DejaVu Sans" w:hAnsi="DejaVu Sans" w:cs="DejaVu Sans"/>
              </w:rPr>
              <w:t xml:space="preserve"> The rapid growth of script-based HTML page design has driven a need for support for multiplexing of HTTP requests, as manifested by HTTP 2.0 and a range of exploratory alternatives.   By looking at the growth of link</w:t>
            </w:r>
            <w:r w:rsidR="00E50B17">
              <w:rPr>
                <w:rFonts w:ascii="DejaVu Sans" w:hAnsi="DejaVu Sans" w:cs="DejaVu Sans"/>
              </w:rPr>
              <w:t>s</w:t>
            </w:r>
            <w:r>
              <w:rPr>
                <w:rFonts w:ascii="DejaVu Sans" w:hAnsi="DejaVu Sans" w:cs="DejaVu Sans"/>
              </w:rPr>
              <w:t xml:space="preserve"> within the HTML </w:t>
            </w:r>
            <w:r w:rsidRPr="00E50B17">
              <w:rPr>
                <w:rFonts w:ascii="DejaVu Sans Mono" w:hAnsi="DejaVu Sans Mono" w:cs="DejaVu Sans Mono"/>
              </w:rPr>
              <w:t>head</w:t>
            </w:r>
            <w:r>
              <w:rPr>
                <w:rFonts w:ascii="DejaVu Sans" w:hAnsi="DejaVu Sans" w:cs="DejaVu Sans"/>
              </w:rPr>
              <w:t xml:space="preserve">, and making use of the additional information about redirects provided by CC, we can plot the </w:t>
            </w:r>
            <w:r w:rsidR="00E50B17">
              <w:rPr>
                <w:rFonts w:ascii="DejaVu Sans" w:hAnsi="DejaVu Sans" w:cs="DejaVu Sans"/>
              </w:rPr>
              <w:t xml:space="preserve">this </w:t>
            </w:r>
            <w:r>
              <w:rPr>
                <w:rFonts w:ascii="DejaVu Sans" w:hAnsi="DejaVu Sans" w:cs="DejaVu Sans"/>
              </w:rPr>
              <w:t xml:space="preserve">growth </w:t>
            </w:r>
            <w:r w:rsidR="00E50B17">
              <w:rPr>
                <w:rFonts w:ascii="DejaVu Sans" w:hAnsi="DejaVu Sans" w:cs="DejaVu Sans"/>
              </w:rPr>
              <w:t>in detail.</w:t>
            </w:r>
          </w:p>
          <w:p w14:paraId="7CA141D7" w14:textId="69D39577" w:rsidR="004F0F73" w:rsidRPr="00CA7EE9" w:rsidRDefault="00E50B17" w:rsidP="00CA7EE9">
            <w:pPr>
              <w:spacing w:after="120"/>
              <w:rPr>
                <w:rFonts w:ascii="DejaVu Sans" w:hAnsi="DejaVu Sans" w:cs="DejaVu Sans"/>
              </w:rPr>
            </w:pPr>
            <w:r>
              <w:rPr>
                <w:rFonts w:ascii="DejaVu Sans" w:hAnsi="DejaVu Sans" w:cs="DejaVu Sans"/>
                <w:b/>
              </w:rPr>
              <w:t xml:space="preserve">4) Validation: </w:t>
            </w:r>
            <w:r w:rsidR="004F0F73" w:rsidRPr="00CA7EE9">
              <w:rPr>
                <w:rFonts w:ascii="DejaVu Sans" w:hAnsi="DejaVu Sans" w:cs="DejaVu Sans"/>
              </w:rPr>
              <w:t xml:space="preserve">There is a long-standing problem with any use of web archives to study the Web:  how do we know if the results are valid?  To put it another way, how can we measure the extent to which an archive is </w:t>
            </w:r>
            <w:r w:rsidR="004F0F73" w:rsidRPr="00CA7EE9">
              <w:rPr>
                <w:rFonts w:ascii="DejaVu Sans" w:hAnsi="DejaVu Sans" w:cs="DejaVu Sans"/>
                <w:i/>
              </w:rPr>
              <w:t>representative</w:t>
            </w:r>
            <w:r w:rsidR="004F0F73" w:rsidRPr="00CA7EE9">
              <w:rPr>
                <w:rFonts w:ascii="DejaVu Sans" w:hAnsi="DejaVu Sans" w:cs="DejaVu Sans"/>
              </w:rPr>
              <w:t xml:space="preserve"> of the Web as a whole?  For some time now, </w:t>
            </w:r>
            <w:r w:rsidR="004F0F73" w:rsidRPr="00CA7EE9">
              <w:rPr>
                <w:rFonts w:ascii="DejaVu Sans" w:hAnsi="DejaVu Sans" w:cs="DejaVu Sans"/>
                <w:i/>
              </w:rPr>
              <w:t xml:space="preserve">inter alia </w:t>
            </w:r>
            <w:r w:rsidR="004F0F73" w:rsidRPr="00CA7EE9">
              <w:rPr>
                <w:rFonts w:ascii="DejaVu Sans" w:hAnsi="DejaVu Sans" w:cs="DejaVu Sans"/>
              </w:rPr>
              <w:t>because of the extent to which many web sites build pages on-the-fly, parameterised by a wide range of contextual factors, it does not make sense to ask how big the Web is: the number of avail</w:t>
            </w:r>
            <w:r w:rsidR="004F0F73" w:rsidRPr="00CA7EE9">
              <w:rPr>
                <w:rFonts w:ascii="DejaVu Sans" w:hAnsi="DejaVu Sans" w:cs="DejaVu Sans"/>
              </w:rPr>
              <w:t>a</w:t>
            </w:r>
            <w:r w:rsidR="004F0F73" w:rsidRPr="00CA7EE9">
              <w:rPr>
                <w:rFonts w:ascii="DejaVu Sans" w:hAnsi="DejaVu Sans" w:cs="DejaVu Sans"/>
              </w:rPr>
              <w:t xml:space="preserve">ble Web pages is </w:t>
            </w:r>
            <w:r w:rsidR="004F0F73" w:rsidRPr="00CA7EE9">
              <w:rPr>
                <w:rFonts w:ascii="DejaVu Sans" w:hAnsi="DejaVu Sans" w:cs="DejaVu Sans"/>
                <w:i/>
              </w:rPr>
              <w:t>unbounded</w:t>
            </w:r>
            <w:r w:rsidR="004F0F73" w:rsidRPr="00CA7EE9">
              <w:rPr>
                <w:rFonts w:ascii="DejaVu Sans" w:hAnsi="DejaVu Sans" w:cs="DejaVu Sans"/>
              </w:rPr>
              <w:t xml:space="preserve">.  So it is not possible to say what percentage of the Web is covered in a CC monthly archive.  But the sampling procedure used by CC </w:t>
            </w:r>
            <w:r w:rsidR="004F0F73" w:rsidRPr="00CA7EE9">
              <w:rPr>
                <w:rFonts w:ascii="DejaVu Sans" w:hAnsi="DejaVu Sans" w:cs="DejaVu Sans"/>
                <w:i/>
              </w:rPr>
              <w:t>is</w:t>
            </w:r>
            <w:r w:rsidR="004F0F73" w:rsidRPr="00CA7EE9">
              <w:rPr>
                <w:rFonts w:ascii="DejaVu Sans" w:hAnsi="DejaVu Sans" w:cs="DejaVu Sans"/>
              </w:rPr>
              <w:t xml:space="preserve"> designed to be representative of the </w:t>
            </w:r>
            <w:r w:rsidR="004F0F73" w:rsidRPr="00CA7EE9">
              <w:rPr>
                <w:rFonts w:ascii="DejaVu Sans" w:hAnsi="DejaVu Sans" w:cs="DejaVu Sans"/>
                <w:i/>
              </w:rPr>
              <w:t>hosts</w:t>
            </w:r>
            <w:r w:rsidR="004F0F73" w:rsidRPr="00CA7EE9">
              <w:rPr>
                <w:rFonts w:ascii="DejaVu Sans" w:hAnsi="DejaVu Sans" w:cs="DejaVu Sans"/>
              </w:rPr>
              <w:t xml:space="preserve"> that serve the Web, and that nu</w:t>
            </w:r>
            <w:r w:rsidR="004F0F73" w:rsidRPr="00CA7EE9">
              <w:rPr>
                <w:rFonts w:ascii="DejaVu Sans" w:hAnsi="DejaVu Sans" w:cs="DejaVu Sans"/>
              </w:rPr>
              <w:t>m</w:t>
            </w:r>
            <w:r w:rsidR="004F0F73" w:rsidRPr="00CA7EE9">
              <w:rPr>
                <w:rFonts w:ascii="DejaVu Sans" w:hAnsi="DejaVu Sans" w:cs="DejaVu Sans"/>
              </w:rPr>
              <w:t>ber is finite.</w:t>
            </w:r>
          </w:p>
          <w:p w14:paraId="12336853" w14:textId="0AE2DD7D" w:rsidR="00E26AEE" w:rsidRPr="00CA7EE9" w:rsidRDefault="00E26AEE" w:rsidP="00CA7EE9">
            <w:pPr>
              <w:spacing w:after="120"/>
              <w:rPr>
                <w:rFonts w:ascii="DejaVu Sans" w:hAnsi="DejaVu Sans" w:cs="DejaVu Sans"/>
              </w:rPr>
            </w:pPr>
            <w:r w:rsidRPr="00CA7EE9">
              <w:rPr>
                <w:rFonts w:ascii="DejaVu Sans" w:hAnsi="DejaVu Sans" w:cs="DejaVu Sans"/>
              </w:rPr>
              <w:t>The three studies described above will provide a basis for testing this design, and thus to some extent the validity of their results.  We will begin that work as part of this project if time allows, otherwise in a subsequent project.</w:t>
            </w:r>
          </w:p>
          <w:p w14:paraId="0DE3DF67" w14:textId="1A12A3B8" w:rsidR="0004193B" w:rsidRPr="00CA7EE9" w:rsidRDefault="00E26AEE" w:rsidP="00CA7EE9">
            <w:pPr>
              <w:spacing w:after="120"/>
              <w:rPr>
                <w:rFonts w:ascii="DejaVu Sans" w:hAnsi="DejaVu Sans" w:cs="DejaVu Sans"/>
              </w:rPr>
            </w:pPr>
            <w:r w:rsidRPr="00CA7EE9">
              <w:rPr>
                <w:rFonts w:ascii="DejaVu Sans" w:hAnsi="DejaVu Sans" w:cs="DejaVu Sans"/>
              </w:rPr>
              <w:t>Doing this will take advantage of</w:t>
            </w:r>
            <w:r w:rsidR="004F0F73" w:rsidRPr="00CA7EE9">
              <w:rPr>
                <w:rFonts w:ascii="DejaVu Sans" w:hAnsi="DejaVu Sans" w:cs="DejaVu Sans"/>
              </w:rPr>
              <w:t xml:space="preserve"> the unprecedented scale of the data and pr</w:t>
            </w:r>
            <w:r w:rsidR="004F0F73" w:rsidRPr="00CA7EE9">
              <w:rPr>
                <w:rFonts w:ascii="DejaVu Sans" w:hAnsi="DejaVu Sans" w:cs="DejaVu Sans"/>
              </w:rPr>
              <w:t>o</w:t>
            </w:r>
            <w:r w:rsidR="004F0F73" w:rsidRPr="00CA7EE9">
              <w:rPr>
                <w:rFonts w:ascii="DejaVu Sans" w:hAnsi="DejaVu Sans" w:cs="DejaVu Sans"/>
              </w:rPr>
              <w:t xml:space="preserve">cessing power we will have from </w:t>
            </w:r>
            <w:r w:rsidRPr="00CA7EE9">
              <w:rPr>
                <w:rFonts w:ascii="DejaVu Sans" w:hAnsi="DejaVu Sans" w:cs="DejaVu Sans"/>
              </w:rPr>
              <w:t>Cirrus</w:t>
            </w:r>
            <w:r w:rsidR="002E0B0D" w:rsidRPr="00CA7EE9">
              <w:rPr>
                <w:rFonts w:ascii="DejaVu Sans" w:hAnsi="DejaVu Sans" w:cs="DejaVu Sans"/>
              </w:rPr>
              <w:t xml:space="preserve">.  Each CC month is structured is such a way as to allow for the creation of sub-samples which </w:t>
            </w:r>
            <w:r w:rsidR="002E0B0D" w:rsidRPr="00CA7EE9">
              <w:rPr>
                <w:rFonts w:ascii="DejaVu Sans" w:hAnsi="DejaVu Sans" w:cs="DejaVu Sans"/>
                <w:i/>
              </w:rPr>
              <w:t>should</w:t>
            </w:r>
            <w:r w:rsidR="002E0B0D" w:rsidRPr="00CA7EE9">
              <w:rPr>
                <w:rFonts w:ascii="DejaVu Sans" w:hAnsi="DejaVu Sans" w:cs="DejaVu Sans"/>
              </w:rPr>
              <w:t xml:space="preserve"> have the same properties as the whole.  By dividing each of our 10 CC months into two equal-size sub-samples, and comparing the distributions of results we get by re-running the above studies, we can get measurements, with error bars, of their similarity to each other, and to the whole dataset.</w:t>
            </w:r>
          </w:p>
          <w:p w14:paraId="73C500E2" w14:textId="77777777" w:rsidR="0004193B" w:rsidRPr="00CA7EE9" w:rsidRDefault="0004193B" w:rsidP="00CA7EE9">
            <w:pPr>
              <w:spacing w:after="120"/>
              <w:rPr>
                <w:rFonts w:ascii="DejaVu Sans" w:hAnsi="DejaVu Sans" w:cs="DejaVu Sans"/>
              </w:rPr>
            </w:pPr>
            <w:r w:rsidRPr="00CA7EE9">
              <w:rPr>
                <w:rFonts w:ascii="DejaVu Sans" w:hAnsi="DejaVu Sans" w:cs="DejaVu Sans"/>
              </w:rPr>
              <w:t>Either way, we will learn something important.</w:t>
            </w:r>
          </w:p>
          <w:p w14:paraId="2DF59126" w14:textId="39D2ACC0" w:rsidR="0004193B" w:rsidRPr="00CA7EE9" w:rsidRDefault="002E0B0D" w:rsidP="00CA7EE9">
            <w:pPr>
              <w:pStyle w:val="ListParagraph"/>
              <w:numPr>
                <w:ilvl w:val="0"/>
                <w:numId w:val="5"/>
              </w:numPr>
              <w:spacing w:after="120"/>
              <w:rPr>
                <w:rFonts w:ascii="DejaVu Sans" w:hAnsi="DejaVu Sans" w:cs="DejaVu Sans"/>
              </w:rPr>
            </w:pPr>
            <w:r w:rsidRPr="00CA7EE9">
              <w:rPr>
                <w:rFonts w:ascii="DejaVu Sans" w:hAnsi="DejaVu Sans" w:cs="DejaVu Sans"/>
              </w:rPr>
              <w:t xml:space="preserve">If we get </w:t>
            </w:r>
            <w:r w:rsidR="0004193B" w:rsidRPr="00CA7EE9">
              <w:rPr>
                <w:rFonts w:ascii="DejaVu Sans" w:hAnsi="DejaVu Sans" w:cs="DejaVu Sans"/>
              </w:rPr>
              <w:t>mostly negative results, that suggests that Common Crawl’s sampling approach is flawed, and should be rethought.</w:t>
            </w:r>
          </w:p>
          <w:p w14:paraId="2FE8C3FC" w14:textId="5C93BCC4" w:rsidR="004F0F73" w:rsidRPr="002E0B0D" w:rsidRDefault="0004193B" w:rsidP="00CA7EE9">
            <w:pPr>
              <w:pStyle w:val="ListParagraph"/>
              <w:numPr>
                <w:ilvl w:val="0"/>
                <w:numId w:val="5"/>
              </w:numPr>
              <w:spacing w:after="120"/>
            </w:pPr>
            <w:r w:rsidRPr="00CA7EE9">
              <w:rPr>
                <w:rFonts w:ascii="DejaVu Sans" w:hAnsi="DejaVu Sans" w:cs="DejaVu Sans"/>
              </w:rPr>
              <w:t>If we get mostly</w:t>
            </w:r>
            <w:r w:rsidR="002E0B0D" w:rsidRPr="00CA7EE9">
              <w:rPr>
                <w:rFonts w:ascii="DejaVu Sans" w:hAnsi="DejaVu Sans" w:cs="DejaVu Sans"/>
              </w:rPr>
              <w:t xml:space="preserve"> positive result</w:t>
            </w:r>
            <w:r w:rsidRPr="00CA7EE9">
              <w:rPr>
                <w:rFonts w:ascii="DejaVu Sans" w:hAnsi="DejaVu Sans" w:cs="DejaVu Sans"/>
              </w:rPr>
              <w:t>s</w:t>
            </w:r>
            <w:r w:rsidR="002E0B0D" w:rsidRPr="00CA7EE9">
              <w:rPr>
                <w:rFonts w:ascii="DejaVu Sans" w:hAnsi="DejaVu Sans" w:cs="DejaVu Sans"/>
              </w:rPr>
              <w:t xml:space="preserve">, </w:t>
            </w:r>
            <w:r w:rsidRPr="00CA7EE9">
              <w:rPr>
                <w:rFonts w:ascii="DejaVu Sans" w:hAnsi="DejaVu Sans" w:cs="DejaVu Sans"/>
              </w:rPr>
              <w:t xml:space="preserve">we know that in those cases we probably have learned something true about the phenomena.  </w:t>
            </w:r>
            <w:r w:rsidR="0011100A" w:rsidRPr="00CA7EE9">
              <w:rPr>
                <w:rFonts w:ascii="DejaVu Sans" w:hAnsi="DejaVu Sans" w:cs="DejaVu Sans"/>
              </w:rPr>
              <w:t>It</w:t>
            </w:r>
            <w:r w:rsidR="002E0B0D" w:rsidRPr="00CA7EE9">
              <w:rPr>
                <w:rFonts w:ascii="DejaVu Sans" w:hAnsi="DejaVu Sans" w:cs="DejaVu Sans"/>
              </w:rPr>
              <w:t xml:space="preserve"> will</w:t>
            </w:r>
            <w:r w:rsidR="0011100A" w:rsidRPr="00CA7EE9">
              <w:rPr>
                <w:rFonts w:ascii="DejaVu Sans" w:hAnsi="DejaVu Sans" w:cs="DejaVu Sans"/>
              </w:rPr>
              <w:t xml:space="preserve"> then</w:t>
            </w:r>
            <w:r w:rsidR="002E0B0D" w:rsidRPr="00CA7EE9">
              <w:rPr>
                <w:rFonts w:ascii="DejaVu Sans" w:hAnsi="DejaVu Sans" w:cs="DejaVu Sans"/>
              </w:rPr>
              <w:t xml:space="preserve"> also be useful to further sub-divide.  </w:t>
            </w:r>
            <w:r w:rsidRPr="00CA7EE9">
              <w:rPr>
                <w:rFonts w:ascii="DejaVu Sans" w:hAnsi="DejaVu Sans" w:cs="DejaVu Sans"/>
              </w:rPr>
              <w:t xml:space="preserve">By </w:t>
            </w:r>
            <w:r w:rsidR="002E0B0D" w:rsidRPr="00CA7EE9">
              <w:rPr>
                <w:rFonts w:ascii="DejaVu Sans" w:hAnsi="DejaVu Sans" w:cs="DejaVu Sans"/>
              </w:rPr>
              <w:t xml:space="preserve">plotting the error-rate as the size of the samples decreases, we can provide </w:t>
            </w:r>
            <w:r w:rsidRPr="00CA7EE9">
              <w:rPr>
                <w:rFonts w:ascii="DejaVu Sans" w:hAnsi="DejaVu Sans" w:cs="DejaVu Sans"/>
              </w:rPr>
              <w:t>a</w:t>
            </w:r>
            <w:r w:rsidR="002E0B0D" w:rsidRPr="00CA7EE9">
              <w:rPr>
                <w:rFonts w:ascii="DejaVu Sans" w:hAnsi="DejaVu Sans" w:cs="DejaVu Sans"/>
              </w:rPr>
              <w:t xml:space="preserve"> guide </w:t>
            </w:r>
            <w:r w:rsidRPr="00CA7EE9">
              <w:rPr>
                <w:rFonts w:ascii="DejaVu Sans" w:hAnsi="DejaVu Sans" w:cs="DejaVu Sans"/>
              </w:rPr>
              <w:t xml:space="preserve">for </w:t>
            </w:r>
            <w:r w:rsidR="002E0B0D" w:rsidRPr="00CA7EE9">
              <w:rPr>
                <w:rFonts w:ascii="DejaVu Sans" w:hAnsi="DejaVu Sans" w:cs="DejaVu Sans"/>
              </w:rPr>
              <w:t>subsequent research</w:t>
            </w:r>
            <w:r w:rsidRPr="00CA7EE9">
              <w:rPr>
                <w:rFonts w:ascii="DejaVu Sans" w:hAnsi="DejaVu Sans" w:cs="DejaVu Sans"/>
              </w:rPr>
              <w:t>: for no more than X amount of error, you need at least Y% of a CC month.</w:t>
            </w:r>
          </w:p>
        </w:tc>
      </w:tr>
    </w:tbl>
    <w:p w14:paraId="123DC429" w14:textId="77777777" w:rsidR="002D18A8" w:rsidRDefault="002D18A8" w:rsidP="002D18A8">
      <w:pPr>
        <w:tabs>
          <w:tab w:val="left" w:pos="1985"/>
        </w:tabs>
        <w:rPr>
          <w:rFonts w:ascii="Verdana" w:hAnsi="Verdana"/>
          <w:b/>
        </w:rPr>
      </w:pPr>
    </w:p>
    <w:p w14:paraId="65A0C566" w14:textId="77777777" w:rsidR="002D18A8" w:rsidRDefault="002D18A8">
      <w:pPr>
        <w:rPr>
          <w:rFonts w:ascii="Verdana" w:hAnsi="Verdana"/>
          <w:b/>
        </w:rPr>
      </w:pPr>
      <w:r>
        <w:rPr>
          <w:rFonts w:ascii="Verdana" w:hAnsi="Verdana"/>
          <w:b/>
        </w:rPr>
        <w:br w:type="page"/>
      </w:r>
    </w:p>
    <w:p w14:paraId="364B02B5" w14:textId="669B0F24" w:rsidR="00074E38" w:rsidRPr="00693CE1" w:rsidRDefault="00036BFE" w:rsidP="002D18A8">
      <w:pPr>
        <w:tabs>
          <w:tab w:val="left" w:pos="1985"/>
        </w:tabs>
        <w:rPr>
          <w:rFonts w:ascii="Verdana" w:hAnsi="Verdana"/>
          <w:b/>
        </w:rPr>
      </w:pPr>
      <w:r>
        <w:rPr>
          <w:rFonts w:ascii="Verdana" w:hAnsi="Verdana"/>
          <w:b/>
        </w:rPr>
        <w:lastRenderedPageBreak/>
        <w:t>Importance</w:t>
      </w:r>
      <w:r w:rsidR="00074E38" w:rsidRPr="00693CE1">
        <w:rPr>
          <w:rFonts w:ascii="Verdana" w:hAnsi="Verdana"/>
          <w:b/>
        </w:rPr>
        <w:t xml:space="preserve"> </w:t>
      </w:r>
      <w:r w:rsidRPr="00693CE1">
        <w:rPr>
          <w:rFonts w:ascii="Verdana" w:hAnsi="Verdana"/>
        </w:rPr>
        <w:t>(</w:t>
      </w:r>
      <w:r>
        <w:rPr>
          <w:rFonts w:ascii="Verdana" w:hAnsi="Verdana"/>
        </w:rPr>
        <w:t>up to</w:t>
      </w:r>
      <w:r w:rsidRPr="00693CE1">
        <w:rPr>
          <w:rFonts w:ascii="Verdana" w:hAnsi="Verdana"/>
        </w:rPr>
        <w:t xml:space="preserve"> 1 page)</w:t>
      </w:r>
    </w:p>
    <w:tbl>
      <w:tblPr>
        <w:tblStyle w:val="TableGrid"/>
        <w:tblW w:w="9666" w:type="dxa"/>
        <w:tblLook w:val="04A0" w:firstRow="1" w:lastRow="0" w:firstColumn="1" w:lastColumn="0" w:noHBand="0" w:noVBand="1"/>
      </w:tblPr>
      <w:tblGrid>
        <w:gridCol w:w="9666"/>
      </w:tblGrid>
      <w:tr w:rsidR="00074E38" w:rsidRPr="00693CE1" w14:paraId="364B02B7" w14:textId="77777777" w:rsidTr="00036BFE">
        <w:trPr>
          <w:trHeight w:val="12012"/>
        </w:trPr>
        <w:tc>
          <w:tcPr>
            <w:tcW w:w="9666" w:type="dxa"/>
          </w:tcPr>
          <w:p w14:paraId="4BE07C66" w14:textId="21A4D26A" w:rsidR="00074E38" w:rsidRDefault="005D29BE" w:rsidP="009B4028">
            <w:pPr>
              <w:spacing w:after="120"/>
              <w:rPr>
                <w:rFonts w:ascii="Verdana" w:hAnsi="Verdana"/>
              </w:rPr>
            </w:pPr>
            <w:r>
              <w:rPr>
                <w:rFonts w:ascii="Verdana" w:hAnsi="Verdana"/>
              </w:rPr>
              <w:t>As Tim Berners-Lee once said “We have to study the Web so we don’t break it by mistake”.  There’s a lot of low-level empirical data about Internet traffic, and a fair amount about Web traffic volume on a per-host basis, but much less is known about how the pages on the Web themselves are evolving.</w:t>
            </w:r>
            <w:r w:rsidR="009B4028">
              <w:rPr>
                <w:rFonts w:ascii="Verdana" w:hAnsi="Verdana"/>
              </w:rPr>
              <w:t xml:space="preserve">  For example, the debate over the future of HTML in the early part of this century was seriously hampered by the lack of publicly available, reproducibly tabulated, empirical evidence of the use of XHTML.</w:t>
            </w:r>
          </w:p>
          <w:p w14:paraId="05B5FC66" w14:textId="362D1F51" w:rsidR="00B9060A" w:rsidRDefault="00B9060A" w:rsidP="009B4028">
            <w:pPr>
              <w:spacing w:after="120"/>
              <w:rPr>
                <w:rFonts w:ascii="Verdana" w:hAnsi="Verdana"/>
                <w:b/>
              </w:rPr>
            </w:pPr>
            <w:r>
              <w:rPr>
                <w:rFonts w:ascii="Verdana" w:hAnsi="Verdana"/>
                <w:b/>
              </w:rPr>
              <w:t>Methodological advance</w:t>
            </w:r>
          </w:p>
          <w:p w14:paraId="1EC2D076" w14:textId="66992D4C" w:rsidR="00B9060A" w:rsidRPr="00B9060A" w:rsidRDefault="00B9060A" w:rsidP="009B4028">
            <w:pPr>
              <w:spacing w:after="120"/>
              <w:rPr>
                <w:rFonts w:ascii="Verdana" w:hAnsi="Verdana"/>
              </w:rPr>
            </w:pPr>
            <w:r>
              <w:rPr>
                <w:rFonts w:ascii="Verdana" w:hAnsi="Verdana"/>
              </w:rPr>
              <w:t>By giving concrete examples of what can be achieved by applying High Performance Computing resources to very large scale web archive data, and by explaining how this can be replicated, we will raise the bar for longitudinal study of the Web.</w:t>
            </w:r>
          </w:p>
          <w:p w14:paraId="7C1736F8" w14:textId="77777777" w:rsidR="00B9060A" w:rsidRDefault="00B9060A" w:rsidP="009B4028">
            <w:pPr>
              <w:spacing w:after="120"/>
              <w:rPr>
                <w:rFonts w:ascii="Verdana" w:hAnsi="Verdana"/>
                <w:b/>
              </w:rPr>
            </w:pPr>
            <w:r>
              <w:rPr>
                <w:rFonts w:ascii="Verdana" w:hAnsi="Verdana"/>
                <w:b/>
              </w:rPr>
              <w:t>Policy influence</w:t>
            </w:r>
          </w:p>
          <w:p w14:paraId="32C3FBA3" w14:textId="4C1D34DD" w:rsidR="00B9060A" w:rsidRPr="00B9060A" w:rsidRDefault="00601BC6" w:rsidP="009B4028">
            <w:pPr>
              <w:spacing w:after="120"/>
              <w:rPr>
                <w:rFonts w:ascii="Verdana" w:hAnsi="Verdana"/>
              </w:rPr>
            </w:pPr>
            <w:r>
              <w:rPr>
                <w:rFonts w:ascii="Verdana" w:hAnsi="Verdana"/>
              </w:rPr>
              <w:t>Standards bodies, in particular the World Wide Web Consortium (W3C) and the I</w:t>
            </w:r>
            <w:r>
              <w:rPr>
                <w:rFonts w:ascii="Verdana" w:hAnsi="Verdana"/>
              </w:rPr>
              <w:t>n</w:t>
            </w:r>
            <w:r>
              <w:rPr>
                <w:rFonts w:ascii="Verdana" w:hAnsi="Verdana"/>
              </w:rPr>
              <w:t>ternet Engineering Task Force (IETF), as well as funding bodies, can do their job better when planning is evidence-based.  Our results will contribute to this, in a small way in themselves, and on a larger scale if our approach is adopted more widely.</w:t>
            </w:r>
          </w:p>
          <w:p w14:paraId="23995B9B" w14:textId="77777777" w:rsidR="00B9060A" w:rsidRDefault="00B9060A" w:rsidP="009B4028">
            <w:pPr>
              <w:spacing w:after="120"/>
              <w:rPr>
                <w:rFonts w:ascii="Verdana" w:hAnsi="Verdana"/>
                <w:b/>
              </w:rPr>
            </w:pPr>
            <w:r>
              <w:rPr>
                <w:rFonts w:ascii="Verdana" w:hAnsi="Verdana"/>
                <w:b/>
              </w:rPr>
              <w:t>Scientific importance</w:t>
            </w:r>
          </w:p>
          <w:p w14:paraId="364B02B6" w14:textId="51319C7F" w:rsidR="00B9060A" w:rsidRPr="00B9060A" w:rsidRDefault="00B9060A" w:rsidP="009B4028">
            <w:pPr>
              <w:spacing w:after="120"/>
              <w:rPr>
                <w:rFonts w:ascii="Verdana" w:hAnsi="Verdana"/>
              </w:rPr>
            </w:pPr>
            <w:r>
              <w:rPr>
                <w:rFonts w:ascii="Verdana" w:hAnsi="Verdana"/>
              </w:rPr>
              <w:t>Outcome 4, Validation, whichever way it turns out, will make a big difference to how subsequent studies based on Common Crawl are carried out and evaluated.  As the most widely available and easily used very large scale Web archive, it is crucial that we know the extent to which we can trust results derived from Common Crawl d</w:t>
            </w:r>
            <w:r>
              <w:rPr>
                <w:rFonts w:ascii="Verdana" w:hAnsi="Verdana"/>
              </w:rPr>
              <w:t>a</w:t>
            </w:r>
            <w:r>
              <w:rPr>
                <w:rFonts w:ascii="Verdana" w:hAnsi="Verdana"/>
              </w:rPr>
              <w:t>tasets.</w:t>
            </w:r>
          </w:p>
        </w:tc>
      </w:tr>
    </w:tbl>
    <w:p w14:paraId="364B02B8" w14:textId="77777777" w:rsidR="008E68A7" w:rsidRDefault="008E68A7" w:rsidP="005A38AC">
      <w:pPr>
        <w:spacing w:after="0" w:line="240" w:lineRule="auto"/>
        <w:rPr>
          <w:rFonts w:ascii="Verdana" w:hAnsi="Verdana"/>
          <w:b/>
        </w:rPr>
      </w:pPr>
    </w:p>
    <w:p w14:paraId="364B02B9" w14:textId="77777777" w:rsidR="008E68A7" w:rsidRDefault="008E68A7">
      <w:pPr>
        <w:rPr>
          <w:rFonts w:ascii="Verdana" w:hAnsi="Verdana"/>
          <w:b/>
        </w:rPr>
      </w:pPr>
      <w:r>
        <w:rPr>
          <w:rFonts w:ascii="Verdana" w:hAnsi="Verdana"/>
          <w:b/>
        </w:rPr>
        <w:br w:type="page"/>
      </w:r>
    </w:p>
    <w:p w14:paraId="364B02BA" w14:textId="3653BE99" w:rsidR="005A38AC" w:rsidRPr="00693CE1" w:rsidRDefault="00036BFE" w:rsidP="005A38AC">
      <w:pPr>
        <w:spacing w:after="0" w:line="240" w:lineRule="auto"/>
        <w:rPr>
          <w:rFonts w:ascii="Verdana" w:hAnsi="Verdana"/>
          <w:b/>
        </w:rPr>
      </w:pPr>
      <w:r>
        <w:rPr>
          <w:rFonts w:ascii="Verdana" w:hAnsi="Verdana"/>
          <w:b/>
        </w:rPr>
        <w:lastRenderedPageBreak/>
        <w:t>Expertise and track record of the team</w:t>
      </w:r>
      <w:r w:rsidR="005A38AC" w:rsidRPr="00693CE1">
        <w:rPr>
          <w:rFonts w:ascii="Verdana" w:hAnsi="Verdana"/>
          <w:b/>
        </w:rPr>
        <w:t xml:space="preserve"> </w:t>
      </w:r>
      <w:r w:rsidR="005A38AC" w:rsidRPr="00036BFE">
        <w:rPr>
          <w:rFonts w:ascii="Verdana" w:hAnsi="Verdana"/>
          <w:bCs/>
        </w:rPr>
        <w:t>(</w:t>
      </w:r>
      <w:r>
        <w:rPr>
          <w:rFonts w:ascii="Verdana" w:hAnsi="Verdana"/>
          <w:bCs/>
        </w:rPr>
        <w:t>up to 1</w:t>
      </w:r>
      <w:r w:rsidR="00ED74BA" w:rsidRPr="00036BFE">
        <w:rPr>
          <w:rFonts w:ascii="Verdana" w:hAnsi="Verdana"/>
          <w:bCs/>
        </w:rPr>
        <w:t xml:space="preserve"> page</w:t>
      </w:r>
      <w:r w:rsidR="005A38AC" w:rsidRPr="00036BFE">
        <w:rPr>
          <w:rFonts w:ascii="Verdana" w:hAnsi="Verdana"/>
          <w:bCs/>
        </w:rPr>
        <w:t>)</w:t>
      </w:r>
    </w:p>
    <w:p w14:paraId="364B02BB" w14:textId="77777777" w:rsidR="005A38AC" w:rsidRPr="00693CE1" w:rsidRDefault="005A38AC" w:rsidP="005A38AC">
      <w:pPr>
        <w:spacing w:after="120" w:line="240" w:lineRule="auto"/>
        <w:rPr>
          <w:rFonts w:ascii="Verdana" w:hAnsi="Verdana"/>
        </w:rPr>
      </w:pPr>
    </w:p>
    <w:tbl>
      <w:tblPr>
        <w:tblStyle w:val="TableGrid"/>
        <w:tblW w:w="9402" w:type="dxa"/>
        <w:tblLook w:val="04A0" w:firstRow="1" w:lastRow="0" w:firstColumn="1" w:lastColumn="0" w:noHBand="0" w:noVBand="1"/>
      </w:tblPr>
      <w:tblGrid>
        <w:gridCol w:w="9402"/>
      </w:tblGrid>
      <w:tr w:rsidR="005A38AC" w:rsidRPr="00693CE1" w14:paraId="364B02BD" w14:textId="77777777" w:rsidTr="008E68A7">
        <w:trPr>
          <w:trHeight w:val="7271"/>
        </w:trPr>
        <w:tc>
          <w:tcPr>
            <w:tcW w:w="9402" w:type="dxa"/>
          </w:tcPr>
          <w:p w14:paraId="366BE640" w14:textId="4C74F718" w:rsidR="00283290" w:rsidRPr="00CA7A60" w:rsidRDefault="00A15F2B" w:rsidP="00283290">
            <w:pPr>
              <w:autoSpaceDE w:val="0"/>
              <w:autoSpaceDN w:val="0"/>
              <w:adjustRightInd w:val="0"/>
              <w:spacing w:after="120"/>
              <w:rPr>
                <w:rFonts w:ascii="DejaVu Sans" w:hAnsi="DejaVu Sans" w:cs="DejaVu Sans"/>
              </w:rPr>
            </w:pPr>
            <w:r w:rsidRPr="00CA7A60">
              <w:rPr>
                <w:rFonts w:ascii="DejaVu Sans" w:hAnsi="DejaVu Sans" w:cs="DejaVu Sans"/>
              </w:rPr>
              <w:t xml:space="preserve">Henry Thompson </w:t>
            </w:r>
            <w:r w:rsidR="000147AD" w:rsidRPr="00CA7A60">
              <w:rPr>
                <w:rFonts w:ascii="DejaVu Sans" w:hAnsi="DejaVu Sans" w:cs="DejaVu Sans"/>
              </w:rPr>
              <w:t>is Professor of Web Informatics, based in the Institute for La</w:t>
            </w:r>
            <w:r w:rsidR="000147AD" w:rsidRPr="00CA7A60">
              <w:rPr>
                <w:rFonts w:ascii="DejaVu Sans" w:hAnsi="DejaVu Sans" w:cs="DejaVu Sans"/>
              </w:rPr>
              <w:t>n</w:t>
            </w:r>
            <w:r w:rsidR="000147AD" w:rsidRPr="00CA7A60">
              <w:rPr>
                <w:rFonts w:ascii="DejaVu Sans" w:hAnsi="DejaVu Sans" w:cs="DejaVu Sans"/>
              </w:rPr>
              <w:t xml:space="preserve">guage, Cognition and Computation in the School of Informatics at the University of Edinburgh.   He </w:t>
            </w:r>
            <w:r w:rsidRPr="00CA7A60">
              <w:rPr>
                <w:rFonts w:ascii="DejaVu Sans" w:hAnsi="DejaVu Sans" w:cs="DejaVu Sans"/>
              </w:rPr>
              <w:t>has been carrying out research and supervising student projects in the area of Web Architecture since 20</w:t>
            </w:r>
            <w:r w:rsidR="003651CD" w:rsidRPr="00CA7A60">
              <w:rPr>
                <w:rFonts w:ascii="DejaVu Sans" w:hAnsi="DejaVu Sans" w:cs="DejaVu Sans"/>
              </w:rPr>
              <w:t>0</w:t>
            </w:r>
            <w:r w:rsidR="000147AD" w:rsidRPr="00CA7A60">
              <w:rPr>
                <w:rFonts w:ascii="DejaVu Sans" w:hAnsi="DejaVu Sans" w:cs="DejaVu Sans"/>
              </w:rPr>
              <w:t>4</w:t>
            </w:r>
            <w:r w:rsidRPr="00CA7A60">
              <w:rPr>
                <w:rFonts w:ascii="DejaVu Sans" w:hAnsi="DejaVu Sans" w:cs="DejaVu Sans"/>
              </w:rPr>
              <w:t>.  He has been the University of Edi</w:t>
            </w:r>
            <w:r w:rsidRPr="00CA7A60">
              <w:rPr>
                <w:rFonts w:ascii="DejaVu Sans" w:hAnsi="DejaVu Sans" w:cs="DejaVu Sans"/>
              </w:rPr>
              <w:t>n</w:t>
            </w:r>
            <w:r w:rsidRPr="00CA7A60">
              <w:rPr>
                <w:rFonts w:ascii="DejaVu Sans" w:hAnsi="DejaVu Sans" w:cs="DejaVu Sans"/>
              </w:rPr>
              <w:t>burgh’s representative on the Advisory Council (AC) of the World Wide Web Co</w:t>
            </w:r>
            <w:r w:rsidRPr="00CA7A60">
              <w:rPr>
                <w:rFonts w:ascii="DejaVu Sans" w:hAnsi="DejaVu Sans" w:cs="DejaVu Sans"/>
              </w:rPr>
              <w:t>n</w:t>
            </w:r>
            <w:r w:rsidRPr="00CA7A60">
              <w:rPr>
                <w:rFonts w:ascii="DejaVu Sans" w:hAnsi="DejaVu Sans" w:cs="DejaVu Sans"/>
              </w:rPr>
              <w:t xml:space="preserve">sortium (W3C) since we joined in </w:t>
            </w:r>
            <w:r w:rsidR="003651CD" w:rsidRPr="00CA7A60">
              <w:rPr>
                <w:rFonts w:ascii="DejaVu Sans" w:hAnsi="DejaVu Sans" w:cs="DejaVu Sans"/>
              </w:rPr>
              <w:t>1998</w:t>
            </w:r>
            <w:r w:rsidRPr="00CA7A60">
              <w:rPr>
                <w:rFonts w:ascii="DejaVu Sans" w:hAnsi="DejaVu Sans" w:cs="DejaVu Sans"/>
              </w:rPr>
              <w:t xml:space="preserve">.  He was elected by the AC </w:t>
            </w:r>
            <w:r w:rsidR="000147AD" w:rsidRPr="00CA7A60">
              <w:rPr>
                <w:rFonts w:ascii="DejaVu Sans" w:hAnsi="DejaVu Sans" w:cs="DejaVu Sans"/>
              </w:rPr>
              <w:t>to</w:t>
            </w:r>
            <w:r w:rsidRPr="00CA7A60">
              <w:rPr>
                <w:rFonts w:ascii="DejaVu Sans" w:hAnsi="DejaVu Sans" w:cs="DejaVu Sans"/>
              </w:rPr>
              <w:t xml:space="preserve"> four succe</w:t>
            </w:r>
            <w:r w:rsidRPr="00CA7A60">
              <w:rPr>
                <w:rFonts w:ascii="DejaVu Sans" w:hAnsi="DejaVu Sans" w:cs="DejaVu Sans"/>
              </w:rPr>
              <w:t>s</w:t>
            </w:r>
            <w:r w:rsidRPr="00CA7A60">
              <w:rPr>
                <w:rFonts w:ascii="DejaVu Sans" w:hAnsi="DejaVu Sans" w:cs="DejaVu Sans"/>
              </w:rPr>
              <w:t>sive terms (</w:t>
            </w:r>
            <w:r w:rsidR="003651CD" w:rsidRPr="00CA7A60">
              <w:rPr>
                <w:rFonts w:ascii="DejaVu Sans" w:hAnsi="DejaVu Sans" w:cs="DejaVu Sans"/>
              </w:rPr>
              <w:t>9</w:t>
            </w:r>
            <w:r w:rsidRPr="00CA7A60">
              <w:rPr>
                <w:rFonts w:ascii="DejaVu Sans" w:hAnsi="DejaVu Sans" w:cs="DejaVu Sans"/>
              </w:rPr>
              <w:t xml:space="preserve"> years) on the W3C Technical Architecture Group (TAG).  The TAG is chaired by Sir Tim Berners-Lee, and is responsible for the stewardship of the arch</w:t>
            </w:r>
            <w:r w:rsidRPr="00CA7A60">
              <w:rPr>
                <w:rFonts w:ascii="DejaVu Sans" w:hAnsi="DejaVu Sans" w:cs="DejaVu Sans"/>
              </w:rPr>
              <w:t>i</w:t>
            </w:r>
            <w:r w:rsidRPr="00CA7A60">
              <w:rPr>
                <w:rFonts w:ascii="DejaVu Sans" w:hAnsi="DejaVu Sans" w:cs="DejaVu Sans"/>
              </w:rPr>
              <w:t>tecture of the Web.</w:t>
            </w:r>
          </w:p>
          <w:p w14:paraId="3874E03F" w14:textId="4EC9DD29" w:rsidR="003651CD" w:rsidRPr="00CA7A60" w:rsidRDefault="00283290" w:rsidP="00283290">
            <w:pPr>
              <w:spacing w:after="120"/>
              <w:rPr>
                <w:rFonts w:ascii="DejaVu Sans" w:hAnsi="DejaVu Sans" w:cs="DejaVu Sans"/>
              </w:rPr>
            </w:pPr>
            <w:r w:rsidRPr="00CA7A60">
              <w:rPr>
                <w:rFonts w:ascii="DejaVu Sans" w:hAnsi="DejaVu Sans" w:cs="DejaVu Sans"/>
              </w:rPr>
              <w:t>Thompson is a Fellow of the Alan Turing Institute, which has provided a valuable forum for discussions about the exploitation of very-large-scale Web archives.</w:t>
            </w:r>
          </w:p>
          <w:p w14:paraId="34B7566B" w14:textId="15877D80" w:rsidR="003651CD" w:rsidRPr="00CA7A60" w:rsidRDefault="003651CD" w:rsidP="00283290">
            <w:pPr>
              <w:spacing w:after="120"/>
              <w:rPr>
                <w:rFonts w:ascii="DejaVu Sans" w:hAnsi="DejaVu Sans" w:cs="DejaVu Sans"/>
              </w:rPr>
            </w:pPr>
            <w:r w:rsidRPr="00CA7A60">
              <w:rPr>
                <w:rFonts w:ascii="DejaVu Sans" w:hAnsi="DejaVu Sans" w:cs="DejaVu Sans"/>
              </w:rPr>
              <w:t>Selected relevant publications:</w:t>
            </w:r>
          </w:p>
          <w:p w14:paraId="32101476" w14:textId="657529C4" w:rsidR="003651CD" w:rsidRPr="0016668E" w:rsidRDefault="00722A4C" w:rsidP="00283290">
            <w:pPr>
              <w:spacing w:after="120"/>
              <w:rPr>
                <w:rFonts w:ascii="DejaVu Sans Mono" w:hAnsi="DejaVu Sans Mono" w:cs="DejaVu Sans Mono"/>
                <w:sz w:val="20"/>
                <w:szCs w:val="20"/>
              </w:rPr>
            </w:pPr>
            <w:r w:rsidRPr="00CA7A60">
              <w:rPr>
                <w:rFonts w:ascii="DejaVu Sans" w:hAnsi="DejaVu Sans" w:cs="DejaVu Sans"/>
                <w:b/>
                <w:bCs/>
              </w:rPr>
              <w:t xml:space="preserve">1. </w:t>
            </w:r>
            <w:r w:rsidR="003651CD" w:rsidRPr="00CA7A60">
              <w:rPr>
                <w:rFonts w:ascii="DejaVu Sans" w:hAnsi="DejaVu Sans" w:cs="DejaVu Sans"/>
                <w:b/>
                <w:bCs/>
              </w:rPr>
              <w:t>Thompson, H. S.</w:t>
            </w:r>
            <w:r w:rsidR="003651CD" w:rsidRPr="00CA7A60">
              <w:rPr>
                <w:rFonts w:ascii="DejaVu Sans" w:hAnsi="DejaVu Sans" w:cs="DejaVu Sans"/>
              </w:rPr>
              <w:t> (2010b) “What's a URI and why should I care?”. Ariadne</w:t>
            </w:r>
            <w:r w:rsidR="000147AD" w:rsidRPr="00CA7A60">
              <w:rPr>
                <w:rFonts w:ascii="DejaVu Sans" w:hAnsi="DejaVu Sans" w:cs="DejaVu Sans"/>
              </w:rPr>
              <w:t xml:space="preserve"> </w:t>
            </w:r>
            <w:r w:rsidR="003651CD" w:rsidRPr="00CA7A60">
              <w:rPr>
                <w:rFonts w:ascii="DejaVu Sans" w:hAnsi="DejaVu Sans" w:cs="DejaVu Sans"/>
                <w:b/>
                <w:bCs/>
              </w:rPr>
              <w:t>65</w:t>
            </w:r>
            <w:r w:rsidR="003651CD" w:rsidRPr="00CA7A60">
              <w:rPr>
                <w:rFonts w:ascii="DejaVu Sans" w:hAnsi="DejaVu Sans" w:cs="DejaVu Sans"/>
              </w:rPr>
              <w:t>. Online journal, avail</w:t>
            </w:r>
            <w:r w:rsidR="003651CD" w:rsidRPr="00CA7A60">
              <w:rPr>
                <w:rFonts w:ascii="DejaVu Sans" w:hAnsi="DejaVu Sans" w:cs="DejaVu Sans"/>
              </w:rPr>
              <w:t>a</w:t>
            </w:r>
            <w:r w:rsidR="003651CD" w:rsidRPr="00CA7A60">
              <w:rPr>
                <w:rFonts w:ascii="DejaVu Sans" w:hAnsi="DejaVu Sans" w:cs="DejaVu Sans"/>
              </w:rPr>
              <w:t>ble at</w:t>
            </w:r>
            <w:r w:rsidR="003651CD" w:rsidRPr="000147AD">
              <w:rPr>
                <w:rFonts w:cstheme="minorHAnsi"/>
              </w:rPr>
              <w:t> </w:t>
            </w:r>
            <w:hyperlink r:id="rId15" w:history="1">
              <w:r w:rsidR="0016668E" w:rsidRPr="0016668E">
                <w:rPr>
                  <w:rStyle w:val="Hyperlink"/>
                  <w:rFonts w:ascii="DejaVu Sans Mono" w:hAnsi="DejaVu Sans Mono" w:cs="DejaVu Sans Mono"/>
                  <w:sz w:val="20"/>
                  <w:szCs w:val="20"/>
                  <w:shd w:val="clear" w:color="auto" w:fill="FFFFFF"/>
                </w:rPr>
                <w:t>http://www.ariadne.ac.uk/issue65/thompson/</w:t>
              </w:r>
            </w:hyperlink>
            <w:r w:rsidR="003651CD" w:rsidRPr="000147AD">
              <w:rPr>
                <w:rFonts w:cstheme="minorHAnsi"/>
              </w:rPr>
              <w:t>.</w:t>
            </w:r>
          </w:p>
          <w:p w14:paraId="58824B6C" w14:textId="29294ED6" w:rsidR="0016668E" w:rsidRPr="0016668E" w:rsidRDefault="00722A4C" w:rsidP="00283290">
            <w:pPr>
              <w:spacing w:after="120"/>
              <w:rPr>
                <w:rFonts w:ascii="DejaVu Sans Mono" w:hAnsi="DejaVu Sans Mono" w:cs="DejaVu Sans Mono"/>
                <w:sz w:val="18"/>
                <w:szCs w:val="18"/>
              </w:rPr>
            </w:pPr>
            <w:r w:rsidRPr="00CA7A60">
              <w:rPr>
                <w:rFonts w:ascii="DejaVu Sans" w:hAnsi="DejaVu Sans" w:cs="DejaVu Sans"/>
                <w:b/>
                <w:bCs/>
              </w:rPr>
              <w:t xml:space="preserve">2. </w:t>
            </w:r>
            <w:r w:rsidR="003651CD" w:rsidRPr="00CA7A60">
              <w:rPr>
                <w:rFonts w:ascii="DejaVu Sans" w:hAnsi="DejaVu Sans" w:cs="DejaVu Sans"/>
                <w:b/>
                <w:bCs/>
              </w:rPr>
              <w:t>Thompson, H. S.</w:t>
            </w:r>
            <w:r w:rsidR="003651CD" w:rsidRPr="00CA7A60">
              <w:rPr>
                <w:rFonts w:ascii="DejaVu Sans" w:hAnsi="DejaVu Sans" w:cs="DejaVu Sans"/>
              </w:rPr>
              <w:t>, J. Rees and J. Tennison (2013) “URIs in data: for entities, or for descriptions of e</w:t>
            </w:r>
            <w:r w:rsidR="003651CD" w:rsidRPr="00CA7A60">
              <w:rPr>
                <w:rFonts w:ascii="DejaVu Sans" w:hAnsi="DejaVu Sans" w:cs="DejaVu Sans"/>
              </w:rPr>
              <w:t>n</w:t>
            </w:r>
            <w:r w:rsidR="003651CD" w:rsidRPr="00CA7A60">
              <w:rPr>
                <w:rFonts w:ascii="DejaVu Sans" w:hAnsi="DejaVu Sans" w:cs="DejaVu Sans"/>
              </w:rPr>
              <w:t>tities—A critical analysis”. In </w:t>
            </w:r>
            <w:r w:rsidR="003651CD" w:rsidRPr="00285AAF">
              <w:rPr>
                <w:rFonts w:ascii="DejaVu Sans" w:hAnsi="DejaVu Sans" w:cs="DejaVu Sans"/>
                <w:i/>
              </w:rPr>
              <w:t>Proceedings of WebSci '13</w:t>
            </w:r>
            <w:r w:rsidR="003651CD" w:rsidRPr="00CA7A60">
              <w:rPr>
                <w:rFonts w:ascii="DejaVu Sans" w:hAnsi="DejaVu Sans" w:cs="DejaVu Sans"/>
              </w:rPr>
              <w:t>, ACM, 479–482. Available online at</w:t>
            </w:r>
            <w:r w:rsidR="003651CD" w:rsidRPr="000147AD">
              <w:rPr>
                <w:rFonts w:cstheme="minorHAnsi"/>
              </w:rPr>
              <w:t> </w:t>
            </w:r>
            <w:hyperlink r:id="rId16" w:history="1">
              <w:r w:rsidR="0016668E" w:rsidRPr="0016668E">
                <w:rPr>
                  <w:rStyle w:val="Hyperlink"/>
                  <w:rFonts w:ascii="DejaVu Sans Mono" w:hAnsi="DejaVu Sans Mono" w:cs="DejaVu Sans Mono"/>
                  <w:sz w:val="20"/>
                  <w:szCs w:val="20"/>
                  <w:shd w:val="clear" w:color="auto" w:fill="FFFFFF"/>
                </w:rPr>
                <w:t>https://doi.org/10.1145/2464464.2532514</w:t>
              </w:r>
            </w:hyperlink>
          </w:p>
          <w:p w14:paraId="0079EAA7" w14:textId="30C228DB" w:rsidR="003651CD" w:rsidRDefault="00722A4C" w:rsidP="00283290">
            <w:pPr>
              <w:spacing w:after="120"/>
              <w:rPr>
                <w:rFonts w:cstheme="minorHAnsi"/>
              </w:rPr>
            </w:pPr>
            <w:r w:rsidRPr="00CA7A60">
              <w:rPr>
                <w:rFonts w:ascii="DejaVu Sans" w:hAnsi="DejaVu Sans" w:cs="DejaVu Sans"/>
                <w:b/>
              </w:rPr>
              <w:t xml:space="preserve">3. </w:t>
            </w:r>
            <w:r w:rsidR="003651CD" w:rsidRPr="00CA7A60">
              <w:rPr>
                <w:rFonts w:ascii="DejaVu Sans" w:hAnsi="DejaVu Sans" w:cs="DejaVu Sans"/>
                <w:b/>
              </w:rPr>
              <w:t>Thompson, H. S.</w:t>
            </w:r>
            <w:r w:rsidR="003651CD" w:rsidRPr="00CA7A60">
              <w:rPr>
                <w:rFonts w:ascii="DejaVu Sans" w:hAnsi="DejaVu Sans" w:cs="DejaVu Sans"/>
              </w:rPr>
              <w:t xml:space="preserve"> and C. Lilley, eds. (2014) </w:t>
            </w:r>
            <w:r w:rsidR="003651CD" w:rsidRPr="00285AAF">
              <w:rPr>
                <w:rFonts w:ascii="DejaVu Sans" w:hAnsi="DejaVu Sans" w:cs="DejaVu Sans"/>
                <w:i/>
              </w:rPr>
              <w:t>XML Media Types</w:t>
            </w:r>
            <w:r w:rsidR="003651CD" w:rsidRPr="00CA7A60">
              <w:rPr>
                <w:rFonts w:ascii="DejaVu Sans" w:hAnsi="DejaVu Sans" w:cs="DejaVu Sans"/>
              </w:rPr>
              <w:t>. Internet Eng</w:t>
            </w:r>
            <w:r w:rsidR="003651CD" w:rsidRPr="00CA7A60">
              <w:rPr>
                <w:rFonts w:ascii="DejaVu Sans" w:hAnsi="DejaVu Sans" w:cs="DejaVu Sans"/>
              </w:rPr>
              <w:t>i</w:t>
            </w:r>
            <w:r w:rsidR="003651CD" w:rsidRPr="00CA7A60">
              <w:rPr>
                <w:rFonts w:ascii="DejaVu Sans" w:hAnsi="DejaVu Sans" w:cs="DejaVu Sans"/>
              </w:rPr>
              <w:t>neering Task Force (IETF). IETF Standards Track RFC 7303, available online at</w:t>
            </w:r>
            <w:r w:rsidR="003651CD" w:rsidRPr="000147AD">
              <w:rPr>
                <w:rFonts w:cstheme="minorHAnsi"/>
              </w:rPr>
              <w:t xml:space="preserve"> </w:t>
            </w:r>
            <w:hyperlink r:id="rId17" w:history="1">
              <w:r w:rsidR="001A2DFD" w:rsidRPr="002A08F4">
                <w:rPr>
                  <w:rStyle w:val="Hyperlink"/>
                  <w:rFonts w:ascii="DejaVu Sans Mono" w:hAnsi="DejaVu Sans Mono" w:cs="DejaVu Sans Mono"/>
                  <w:sz w:val="20"/>
                  <w:szCs w:val="20"/>
                </w:rPr>
                <w:t>https://tools.ietf.org/html/rfc7303</w:t>
              </w:r>
            </w:hyperlink>
            <w:r w:rsidR="003651CD" w:rsidRPr="000147AD">
              <w:rPr>
                <w:rFonts w:cstheme="minorHAnsi"/>
              </w:rPr>
              <w:t>.</w:t>
            </w:r>
          </w:p>
          <w:p w14:paraId="700EF059" w14:textId="23A62D7B" w:rsidR="001A2DFD" w:rsidRDefault="00722A4C" w:rsidP="00283290">
            <w:pPr>
              <w:spacing w:after="120"/>
              <w:rPr>
                <w:rFonts w:cstheme="minorHAnsi"/>
              </w:rPr>
            </w:pPr>
            <w:r w:rsidRPr="00CA7A60">
              <w:rPr>
                <w:rStyle w:val="Strong"/>
                <w:rFonts w:ascii="DejaVu Sans" w:hAnsi="DejaVu Sans" w:cs="DejaVu Sans"/>
                <w:color w:val="000000"/>
              </w:rPr>
              <w:t xml:space="preserve">4. </w:t>
            </w:r>
            <w:r w:rsidR="001A2DFD" w:rsidRPr="00CA7A60">
              <w:rPr>
                <w:rStyle w:val="Strong"/>
                <w:rFonts w:ascii="DejaVu Sans" w:hAnsi="DejaVu Sans" w:cs="DejaVu Sans"/>
                <w:color w:val="000000"/>
              </w:rPr>
              <w:t>Thompson, H. S.</w:t>
            </w:r>
            <w:r w:rsidR="001A2DFD" w:rsidRPr="00CA7A60">
              <w:rPr>
                <w:rFonts w:ascii="DejaVu Sans" w:hAnsi="DejaVu Sans" w:cs="DejaVu Sans"/>
                <w:color w:val="000000"/>
              </w:rPr>
              <w:t> and J. Tong (2018) “Can Common Crawl reliably track persi</w:t>
            </w:r>
            <w:r w:rsidR="001A2DFD" w:rsidRPr="00CA7A60">
              <w:rPr>
                <w:rFonts w:ascii="DejaVu Sans" w:hAnsi="DejaVu Sans" w:cs="DejaVu Sans"/>
                <w:color w:val="000000"/>
              </w:rPr>
              <w:t>s</w:t>
            </w:r>
            <w:r w:rsidR="001A2DFD" w:rsidRPr="00CA7A60">
              <w:rPr>
                <w:rFonts w:ascii="DejaVu Sans" w:hAnsi="DejaVu Sans" w:cs="DejaVu Sans"/>
                <w:color w:val="000000"/>
              </w:rPr>
              <w:t>tent identifier (PID) use over time?”. In </w:t>
            </w:r>
            <w:r w:rsidR="001A2DFD" w:rsidRPr="00CA7A60">
              <w:rPr>
                <w:rFonts w:ascii="DejaVu Sans" w:hAnsi="DejaVu Sans" w:cs="DejaVu Sans"/>
                <w:i/>
                <w:iCs/>
                <w:color w:val="000000"/>
              </w:rPr>
              <w:t>Proceedings of The Web Conference 2018</w:t>
            </w:r>
            <w:r w:rsidR="001A2DFD" w:rsidRPr="00CA7A60">
              <w:rPr>
                <w:rFonts w:ascii="DejaVu Sans" w:hAnsi="DejaVu Sans" w:cs="DejaVu Sans"/>
                <w:color w:val="000000"/>
              </w:rPr>
              <w:t>, ACM, 1749–1755. Available online at</w:t>
            </w:r>
            <w:r w:rsidR="001A2DFD" w:rsidRPr="0016668E">
              <w:rPr>
                <w:rFonts w:cstheme="minorHAnsi"/>
                <w:color w:val="000000"/>
              </w:rPr>
              <w:t> </w:t>
            </w:r>
            <w:hyperlink r:id="rId18" w:history="1">
              <w:r w:rsidR="001A2DFD" w:rsidRPr="0016668E">
                <w:rPr>
                  <w:rStyle w:val="Hyperlink"/>
                  <w:rFonts w:ascii="DejaVu Sans Mono" w:hAnsi="DejaVu Sans Mono" w:cs="DejaVu Sans Mono"/>
                  <w:sz w:val="20"/>
                  <w:szCs w:val="20"/>
                  <w:shd w:val="clear" w:color="auto" w:fill="FFFFFF"/>
                </w:rPr>
                <w:t>https://doi.org/10.1145/3184558.3191636</w:t>
              </w:r>
            </w:hyperlink>
          </w:p>
          <w:p w14:paraId="03ED94E0" w14:textId="74079D28" w:rsidR="0016668E" w:rsidRDefault="00285AAF" w:rsidP="00283290">
            <w:pPr>
              <w:spacing w:after="120"/>
              <w:rPr>
                <w:rFonts w:ascii="DejaVu Sans" w:hAnsi="DejaVu Sans" w:cs="DejaVu Sans"/>
              </w:rPr>
            </w:pPr>
            <w:r w:rsidRPr="00285AAF">
              <w:rPr>
                <w:rFonts w:ascii="DejaVu Sans" w:hAnsi="DejaVu Sans" w:cs="DejaVu Sans"/>
                <w:b/>
              </w:rPr>
              <w:t>5. Thompson, H. S</w:t>
            </w:r>
            <w:r w:rsidRPr="00285AAF">
              <w:rPr>
                <w:rFonts w:ascii="DejaVu Sans" w:hAnsi="DejaVu Sans" w:cs="DejaVu Sans"/>
              </w:rPr>
              <w:t xml:space="preserve">. and Norman Walsh, eds. (2008) </w:t>
            </w:r>
            <w:r w:rsidRPr="00285AAF">
              <w:rPr>
                <w:rFonts w:ascii="DejaVu Sans" w:hAnsi="DejaVu Sans" w:cs="DejaVu Sans"/>
                <w:i/>
              </w:rPr>
              <w:t>Associating Resources with Namespaces</w:t>
            </w:r>
            <w:r w:rsidRPr="00285AAF">
              <w:rPr>
                <w:rFonts w:ascii="DejaVu Sans" w:hAnsi="DejaVu Sans" w:cs="DejaVu Sans"/>
              </w:rPr>
              <w:t>. W3C TAG Finding, World Wide Web Consortium, Cambridge. Avail</w:t>
            </w:r>
            <w:r w:rsidRPr="00285AAF">
              <w:rPr>
                <w:rFonts w:ascii="DejaVu Sans" w:hAnsi="DejaVu Sans" w:cs="DejaVu Sans"/>
              </w:rPr>
              <w:t>a</w:t>
            </w:r>
            <w:r w:rsidRPr="00285AAF">
              <w:rPr>
                <w:rFonts w:ascii="DejaVu Sans" w:hAnsi="DejaVu Sans" w:cs="DejaVu Sans"/>
              </w:rPr>
              <w:t xml:space="preserve">ble online </w:t>
            </w:r>
            <w:r w:rsidR="00B37B51" w:rsidRPr="00285AAF">
              <w:rPr>
                <w:rFonts w:ascii="DejaVu Sans" w:hAnsi="DejaVu Sans" w:cs="DejaVu Sans"/>
              </w:rPr>
              <w:t>at</w:t>
            </w:r>
            <w:r w:rsidRPr="00285AAF">
              <w:rPr>
                <w:rFonts w:ascii="DejaVu Sans" w:hAnsi="DejaVu Sans" w:cs="DejaVu Sans"/>
              </w:rPr>
              <w:t xml:space="preserve"> </w:t>
            </w:r>
            <w:hyperlink r:id="rId19" w:history="1">
              <w:r w:rsidRPr="002A08F4">
                <w:rPr>
                  <w:rStyle w:val="Hyperlink"/>
                  <w:rFonts w:ascii="DejaVu Sans" w:hAnsi="DejaVu Sans" w:cs="DejaVu Sans"/>
                </w:rPr>
                <w:t>http://www.w3.org/2001/tag/doc/nsDocuments/</w:t>
              </w:r>
            </w:hyperlink>
          </w:p>
          <w:p w14:paraId="364B02BC" w14:textId="45986F2B" w:rsidR="00285AAF" w:rsidRPr="00285AAF" w:rsidRDefault="00285AAF" w:rsidP="00283290">
            <w:pPr>
              <w:spacing w:after="120"/>
              <w:rPr>
                <w:rFonts w:ascii="DejaVu Sans" w:hAnsi="DejaVu Sans" w:cs="DejaVu Sans"/>
              </w:rPr>
            </w:pPr>
          </w:p>
        </w:tc>
      </w:tr>
    </w:tbl>
    <w:p w14:paraId="364B02BE" w14:textId="77777777" w:rsidR="00ED74BA" w:rsidRPr="00693CE1" w:rsidRDefault="00ED74BA">
      <w:pPr>
        <w:rPr>
          <w:rFonts w:ascii="Verdana" w:hAnsi="Verdana"/>
          <w:b/>
        </w:rPr>
      </w:pPr>
    </w:p>
    <w:p w14:paraId="364B02C6" w14:textId="2757D5D5" w:rsidR="00ED74BA" w:rsidRPr="00693CE1" w:rsidRDefault="008E68A7">
      <w:pPr>
        <w:rPr>
          <w:rFonts w:ascii="Verdana" w:hAnsi="Verdana"/>
          <w:b/>
        </w:rPr>
      </w:pPr>
      <w:r>
        <w:rPr>
          <w:rFonts w:ascii="Verdana" w:hAnsi="Verdana"/>
          <w:b/>
        </w:rPr>
        <w:br w:type="page"/>
      </w:r>
    </w:p>
    <w:p w14:paraId="364B02C7" w14:textId="68C52E9C" w:rsidR="00074E38" w:rsidRPr="00693CE1" w:rsidRDefault="00036BFE" w:rsidP="00AF16BC">
      <w:pPr>
        <w:spacing w:after="0" w:line="240" w:lineRule="auto"/>
        <w:rPr>
          <w:rFonts w:ascii="Verdana" w:hAnsi="Verdana"/>
          <w:b/>
        </w:rPr>
      </w:pPr>
      <w:r>
        <w:rPr>
          <w:rFonts w:ascii="Verdana" w:hAnsi="Verdana"/>
          <w:b/>
        </w:rPr>
        <w:lastRenderedPageBreak/>
        <w:t>Other associated resources</w:t>
      </w:r>
      <w:r w:rsidR="00D82A51" w:rsidRPr="00693CE1">
        <w:rPr>
          <w:rFonts w:ascii="Verdana" w:hAnsi="Verdana"/>
          <w:b/>
        </w:rPr>
        <w:t xml:space="preserve"> </w:t>
      </w:r>
      <w:r w:rsidR="00D82A51" w:rsidRPr="00036BFE">
        <w:rPr>
          <w:rFonts w:ascii="Verdana" w:hAnsi="Verdana"/>
          <w:bCs/>
        </w:rPr>
        <w:t>(</w:t>
      </w:r>
      <w:r w:rsidRPr="00036BFE">
        <w:rPr>
          <w:rFonts w:ascii="Verdana" w:hAnsi="Verdana"/>
          <w:bCs/>
        </w:rPr>
        <w:t>up to</w:t>
      </w:r>
      <w:r w:rsidR="00D82A51" w:rsidRPr="00036BFE">
        <w:rPr>
          <w:rFonts w:ascii="Verdana" w:hAnsi="Verdana"/>
          <w:bCs/>
        </w:rPr>
        <w:t xml:space="preserve"> </w:t>
      </w:r>
      <w:r w:rsidR="00ED74BA" w:rsidRPr="00036BFE">
        <w:rPr>
          <w:rFonts w:ascii="Verdana" w:hAnsi="Verdana"/>
          <w:bCs/>
        </w:rPr>
        <w:t>1</w:t>
      </w:r>
      <w:r w:rsidR="008E68A7" w:rsidRPr="00036BFE">
        <w:rPr>
          <w:rFonts w:ascii="Verdana" w:hAnsi="Verdana"/>
          <w:bCs/>
        </w:rPr>
        <w:t>/2</w:t>
      </w:r>
      <w:r w:rsidR="00ED74BA" w:rsidRPr="00036BFE">
        <w:rPr>
          <w:rFonts w:ascii="Verdana" w:hAnsi="Verdana"/>
          <w:bCs/>
        </w:rPr>
        <w:t xml:space="preserve"> page</w:t>
      </w:r>
      <w:r w:rsidR="005A38AC" w:rsidRPr="00036BFE">
        <w:rPr>
          <w:rFonts w:ascii="Verdana" w:hAnsi="Verdana"/>
          <w:bCs/>
        </w:rPr>
        <w:t>)</w:t>
      </w:r>
    </w:p>
    <w:p w14:paraId="364B02C8" w14:textId="77777777" w:rsidR="00074E38" w:rsidRPr="00693CE1" w:rsidRDefault="00ED74BA" w:rsidP="00237AA7">
      <w:pPr>
        <w:spacing w:after="120" w:line="240" w:lineRule="auto"/>
        <w:rPr>
          <w:rFonts w:ascii="Verdana" w:hAnsi="Verdana" w:cs="Arial"/>
        </w:rPr>
      </w:pPr>
      <w:r w:rsidRPr="00693CE1">
        <w:rPr>
          <w:rFonts w:ascii="Verdana" w:hAnsi="Verdana"/>
        </w:rPr>
        <w:t xml:space="preserve"> </w:t>
      </w:r>
    </w:p>
    <w:tbl>
      <w:tblPr>
        <w:tblStyle w:val="TableGrid"/>
        <w:tblW w:w="9402" w:type="dxa"/>
        <w:tblLook w:val="04A0" w:firstRow="1" w:lastRow="0" w:firstColumn="1" w:lastColumn="0" w:noHBand="0" w:noVBand="1"/>
      </w:tblPr>
      <w:tblGrid>
        <w:gridCol w:w="9402"/>
      </w:tblGrid>
      <w:tr w:rsidR="00A321B1" w:rsidRPr="00693CE1" w14:paraId="364B02CA" w14:textId="77777777" w:rsidTr="001B54EF">
        <w:trPr>
          <w:trHeight w:val="7271"/>
        </w:trPr>
        <w:tc>
          <w:tcPr>
            <w:tcW w:w="9402" w:type="dxa"/>
          </w:tcPr>
          <w:p w14:paraId="364B02C9" w14:textId="0DDEC46C" w:rsidR="00A321B1" w:rsidRPr="00693CE1" w:rsidRDefault="00823EBD" w:rsidP="002051FA">
            <w:pPr>
              <w:rPr>
                <w:rFonts w:ascii="Verdana" w:hAnsi="Verdana"/>
              </w:rPr>
            </w:pPr>
            <w:r>
              <w:rPr>
                <w:rFonts w:ascii="Verdana" w:hAnsi="Verdana"/>
                <w:b/>
              </w:rPr>
              <w:t>Storage:</w:t>
            </w:r>
            <w:r>
              <w:rPr>
                <w:rFonts w:ascii="Verdana" w:hAnsi="Verdana"/>
              </w:rPr>
              <w:t xml:space="preserve">  As described in the accompanying Technical Assessment, we will have access to approximately 300 TB of the Bee</w:t>
            </w:r>
            <w:r w:rsidR="002051FA">
              <w:rPr>
                <w:rFonts w:ascii="Verdana" w:hAnsi="Verdana"/>
              </w:rPr>
              <w:t>G</w:t>
            </w:r>
            <w:r>
              <w:rPr>
                <w:rFonts w:ascii="Verdana" w:hAnsi="Verdana"/>
              </w:rPr>
              <w:t>FS filestore, which is accessible from Cirrus nodes.</w:t>
            </w:r>
            <w:r w:rsidR="00D91A21">
              <w:rPr>
                <w:rFonts w:ascii="Verdana" w:hAnsi="Verdana"/>
              </w:rPr>
              <w:t xml:space="preserve"> </w:t>
            </w:r>
          </w:p>
        </w:tc>
      </w:tr>
    </w:tbl>
    <w:p w14:paraId="364B02CB" w14:textId="77777777" w:rsidR="00CD6E0E" w:rsidRPr="00693CE1" w:rsidRDefault="00CD6E0E" w:rsidP="00982BB1">
      <w:pPr>
        <w:spacing w:after="0" w:line="240" w:lineRule="auto"/>
        <w:rPr>
          <w:rFonts w:ascii="Verdana" w:hAnsi="Verdana"/>
          <w:b/>
        </w:rPr>
      </w:pPr>
    </w:p>
    <w:p w14:paraId="364B02CC" w14:textId="77777777" w:rsidR="00A10A12" w:rsidRPr="00693CE1" w:rsidRDefault="00A10A12" w:rsidP="00237AA7">
      <w:pPr>
        <w:spacing w:after="120" w:line="240" w:lineRule="auto"/>
        <w:rPr>
          <w:rFonts w:ascii="Verdana" w:hAnsi="Verdana"/>
        </w:rPr>
      </w:pPr>
    </w:p>
    <w:p w14:paraId="364B02CD" w14:textId="77777777" w:rsidR="00175C63" w:rsidRPr="00693CE1" w:rsidRDefault="00175C63" w:rsidP="00175C63">
      <w:pPr>
        <w:spacing w:after="0" w:line="240" w:lineRule="auto"/>
        <w:rPr>
          <w:rFonts w:ascii="Verdana" w:hAnsi="Verdana"/>
        </w:rPr>
      </w:pPr>
    </w:p>
    <w:p w14:paraId="364B02CE" w14:textId="77777777" w:rsidR="008E68A7" w:rsidRDefault="008E68A7">
      <w:pPr>
        <w:rPr>
          <w:rFonts w:ascii="Verdana" w:hAnsi="Verdana"/>
          <w:b/>
        </w:rPr>
      </w:pPr>
      <w:r>
        <w:rPr>
          <w:rFonts w:ascii="Verdana" w:hAnsi="Verdana"/>
          <w:b/>
        </w:rPr>
        <w:br w:type="page"/>
      </w:r>
    </w:p>
    <w:p w14:paraId="364B02D6" w14:textId="506EF1D0" w:rsidR="00D82A51" w:rsidRPr="00693CE1" w:rsidRDefault="00036BFE" w:rsidP="00ED74BA">
      <w:pPr>
        <w:spacing w:after="0" w:line="240" w:lineRule="auto"/>
        <w:rPr>
          <w:rFonts w:ascii="Verdana" w:hAnsi="Verdana"/>
        </w:rPr>
      </w:pPr>
      <w:r>
        <w:rPr>
          <w:rFonts w:ascii="Verdana" w:hAnsi="Verdana"/>
          <w:b/>
        </w:rPr>
        <w:lastRenderedPageBreak/>
        <w:t>Resource Management</w:t>
      </w:r>
      <w:r w:rsidR="00D82A51" w:rsidRPr="00693CE1">
        <w:rPr>
          <w:rFonts w:ascii="Verdana" w:hAnsi="Verdana"/>
          <w:b/>
        </w:rPr>
        <w:t xml:space="preserve"> </w:t>
      </w:r>
      <w:r w:rsidR="00D82A51" w:rsidRPr="00693CE1">
        <w:rPr>
          <w:rFonts w:ascii="Verdana" w:hAnsi="Verdana"/>
        </w:rPr>
        <w:t>(</w:t>
      </w:r>
      <w:r>
        <w:rPr>
          <w:rFonts w:ascii="Verdana" w:hAnsi="Verdana"/>
        </w:rPr>
        <w:t>up to 1½ pages</w:t>
      </w:r>
      <w:r w:rsidR="00D82A51" w:rsidRPr="00693CE1">
        <w:rPr>
          <w:rFonts w:ascii="Verdana" w:hAnsi="Verdana"/>
        </w:rPr>
        <w:t>)</w:t>
      </w:r>
    </w:p>
    <w:p w14:paraId="364B02D7" w14:textId="77777777" w:rsidR="00D82A51" w:rsidRPr="00693CE1" w:rsidRDefault="00D82A51" w:rsidP="00ED74BA">
      <w:pPr>
        <w:spacing w:after="0" w:line="240" w:lineRule="auto"/>
        <w:rPr>
          <w:rFonts w:ascii="Verdana" w:hAnsi="Verdana"/>
          <w:b/>
        </w:rPr>
      </w:pPr>
    </w:p>
    <w:tbl>
      <w:tblPr>
        <w:tblStyle w:val="TableGrid"/>
        <w:tblW w:w="9402" w:type="dxa"/>
        <w:tblLook w:val="04A0" w:firstRow="1" w:lastRow="0" w:firstColumn="1" w:lastColumn="0" w:noHBand="0" w:noVBand="1"/>
      </w:tblPr>
      <w:tblGrid>
        <w:gridCol w:w="9402"/>
      </w:tblGrid>
      <w:tr w:rsidR="00A321B1" w:rsidRPr="00693CE1" w14:paraId="364B02D9" w14:textId="77777777" w:rsidTr="001B54EF">
        <w:trPr>
          <w:trHeight w:val="7271"/>
        </w:trPr>
        <w:tc>
          <w:tcPr>
            <w:tcW w:w="9402" w:type="dxa"/>
          </w:tcPr>
          <w:p w14:paraId="364B02D8" w14:textId="07146096" w:rsidR="002051FA" w:rsidRPr="00693CE1" w:rsidRDefault="002051FA" w:rsidP="001B54EF">
            <w:pPr>
              <w:rPr>
                <w:rFonts w:ascii="Verdana" w:hAnsi="Verdana"/>
              </w:rPr>
            </w:pPr>
            <w:r>
              <w:rPr>
                <w:rFonts w:ascii="Verdana" w:hAnsi="Verdana"/>
              </w:rPr>
              <w:t>The key resources for this project are the BeeGFS filestore and the compute nodes of Ci</w:t>
            </w:r>
            <w:r>
              <w:rPr>
                <w:rFonts w:ascii="Verdana" w:hAnsi="Verdana"/>
              </w:rPr>
              <w:t>r</w:t>
            </w:r>
            <w:r>
              <w:rPr>
                <w:rFonts w:ascii="Verdana" w:hAnsi="Verdana"/>
              </w:rPr>
              <w:t>rus HPC facility.  Data parallelism is the key to effective exploitation of very large scale web archive datasets, and we have developed tools and metho</w:t>
            </w:r>
            <w:r>
              <w:rPr>
                <w:rFonts w:ascii="Verdana" w:hAnsi="Verdana"/>
              </w:rPr>
              <w:t>d</w:t>
            </w:r>
            <w:r>
              <w:rPr>
                <w:rFonts w:ascii="Verdana" w:hAnsi="Verdana"/>
              </w:rPr>
              <w:t>ologies which make it straightforward to tabulate the kinds of distributions r</w:t>
            </w:r>
            <w:r>
              <w:rPr>
                <w:rFonts w:ascii="Verdana" w:hAnsi="Verdana"/>
              </w:rPr>
              <w:t>e</w:t>
            </w:r>
            <w:r>
              <w:rPr>
                <w:rFonts w:ascii="Verdana" w:hAnsi="Verdana"/>
              </w:rPr>
              <w:t>quired for each of the outcomes described above.  With the resources described in the accompanying Technical Assessment, we can process 10 months of CC data in 24—36 hours.</w:t>
            </w:r>
          </w:p>
        </w:tc>
      </w:tr>
    </w:tbl>
    <w:p w14:paraId="364B02E8" w14:textId="20379B48" w:rsidR="00175C63" w:rsidRPr="00036BFE" w:rsidRDefault="00175C63" w:rsidP="00036BFE">
      <w:pPr>
        <w:spacing w:after="0"/>
        <w:rPr>
          <w:rFonts w:ascii="Verdana" w:hAnsi="Verdana"/>
        </w:rPr>
      </w:pPr>
    </w:p>
    <w:sectPr w:rsidR="00175C63" w:rsidRPr="00036BFE">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CD87ED" w14:textId="77777777" w:rsidR="00764AAD" w:rsidRDefault="00764AAD" w:rsidP="00B168D5">
      <w:pPr>
        <w:spacing w:after="0" w:line="240" w:lineRule="auto"/>
      </w:pPr>
      <w:r>
        <w:separator/>
      </w:r>
    </w:p>
  </w:endnote>
  <w:endnote w:type="continuationSeparator" w:id="0">
    <w:p w14:paraId="7EE29922" w14:textId="77777777" w:rsidR="00764AAD" w:rsidRDefault="00764AAD" w:rsidP="00B16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046029" w:usb3="00000000" w:csb0="000001FF" w:csb1="00000000"/>
  </w:font>
  <w:font w:name="DejaVu Sans Mono">
    <w:panose1 w:val="020B0609030804020204"/>
    <w:charset w:val="00"/>
    <w:family w:val="modern"/>
    <w:pitch w:val="fixed"/>
    <w:sig w:usb0="E60022FF" w:usb1="D200F9FB" w:usb2="02000028"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603128"/>
      <w:docPartObj>
        <w:docPartGallery w:val="Page Numbers (Bottom of Page)"/>
        <w:docPartUnique/>
      </w:docPartObj>
    </w:sdtPr>
    <w:sdtContent>
      <w:sdt>
        <w:sdtPr>
          <w:id w:val="-1669238322"/>
          <w:docPartObj>
            <w:docPartGallery w:val="Page Numbers (Top of Page)"/>
            <w:docPartUnique/>
          </w:docPartObj>
        </w:sdtPr>
        <w:sdtContent>
          <w:p w14:paraId="364B02F9" w14:textId="77777777" w:rsidR="001B54EF" w:rsidRDefault="001B54E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37B5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37B51">
              <w:rPr>
                <w:b/>
                <w:bCs/>
                <w:noProof/>
              </w:rPr>
              <w:t>9</w:t>
            </w:r>
            <w:r>
              <w:rPr>
                <w:b/>
                <w:bCs/>
                <w:sz w:val="24"/>
                <w:szCs w:val="24"/>
              </w:rPr>
              <w:fldChar w:fldCharType="end"/>
            </w:r>
          </w:p>
        </w:sdtContent>
      </w:sdt>
    </w:sdtContent>
  </w:sdt>
  <w:p w14:paraId="364B02FA" w14:textId="77777777" w:rsidR="001B54EF" w:rsidRDefault="001B54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A96CB" w14:textId="77777777" w:rsidR="00764AAD" w:rsidRDefault="00764AAD" w:rsidP="00B168D5">
      <w:pPr>
        <w:spacing w:after="0" w:line="240" w:lineRule="auto"/>
      </w:pPr>
      <w:r>
        <w:separator/>
      </w:r>
    </w:p>
  </w:footnote>
  <w:footnote w:type="continuationSeparator" w:id="0">
    <w:p w14:paraId="2BD3EE2D" w14:textId="77777777" w:rsidR="00764AAD" w:rsidRDefault="00764AAD" w:rsidP="00B168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E0582"/>
    <w:multiLevelType w:val="hybridMultilevel"/>
    <w:tmpl w:val="254E86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D968CC"/>
    <w:multiLevelType w:val="hybridMultilevel"/>
    <w:tmpl w:val="370AF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B980889"/>
    <w:multiLevelType w:val="hybridMultilevel"/>
    <w:tmpl w:val="5FBE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012868"/>
    <w:multiLevelType w:val="hybridMultilevel"/>
    <w:tmpl w:val="03460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6C41DD"/>
    <w:multiLevelType w:val="hybridMultilevel"/>
    <w:tmpl w:val="E7ECC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AB4"/>
    <w:rsid w:val="00011045"/>
    <w:rsid w:val="000147AD"/>
    <w:rsid w:val="00017962"/>
    <w:rsid w:val="00036BFE"/>
    <w:rsid w:val="0004193B"/>
    <w:rsid w:val="00050A08"/>
    <w:rsid w:val="0005205C"/>
    <w:rsid w:val="0006514C"/>
    <w:rsid w:val="00074E38"/>
    <w:rsid w:val="00074EC5"/>
    <w:rsid w:val="00075BE4"/>
    <w:rsid w:val="000B39C1"/>
    <w:rsid w:val="000B3D3C"/>
    <w:rsid w:val="000B7EBF"/>
    <w:rsid w:val="0011100A"/>
    <w:rsid w:val="00114392"/>
    <w:rsid w:val="00117AAF"/>
    <w:rsid w:val="00121BB2"/>
    <w:rsid w:val="00130337"/>
    <w:rsid w:val="0013069D"/>
    <w:rsid w:val="00130A36"/>
    <w:rsid w:val="00132499"/>
    <w:rsid w:val="001347A3"/>
    <w:rsid w:val="00153BA9"/>
    <w:rsid w:val="0016668E"/>
    <w:rsid w:val="0016676F"/>
    <w:rsid w:val="0017403C"/>
    <w:rsid w:val="00175C63"/>
    <w:rsid w:val="00177C3C"/>
    <w:rsid w:val="001A2DFD"/>
    <w:rsid w:val="001B54EF"/>
    <w:rsid w:val="001D6074"/>
    <w:rsid w:val="001D63CE"/>
    <w:rsid w:val="001E50FD"/>
    <w:rsid w:val="001F7B44"/>
    <w:rsid w:val="00200BE4"/>
    <w:rsid w:val="002051FA"/>
    <w:rsid w:val="00207BEC"/>
    <w:rsid w:val="00224477"/>
    <w:rsid w:val="00236D05"/>
    <w:rsid w:val="00237AA7"/>
    <w:rsid w:val="00263CDE"/>
    <w:rsid w:val="002733BC"/>
    <w:rsid w:val="002806BE"/>
    <w:rsid w:val="00283290"/>
    <w:rsid w:val="00285AAF"/>
    <w:rsid w:val="00292F5E"/>
    <w:rsid w:val="002932AC"/>
    <w:rsid w:val="002B2B2B"/>
    <w:rsid w:val="002C6C4B"/>
    <w:rsid w:val="002D18A8"/>
    <w:rsid w:val="002E0B0D"/>
    <w:rsid w:val="003027F4"/>
    <w:rsid w:val="003055E9"/>
    <w:rsid w:val="00321824"/>
    <w:rsid w:val="00326E5F"/>
    <w:rsid w:val="0033776F"/>
    <w:rsid w:val="003651CD"/>
    <w:rsid w:val="0036553F"/>
    <w:rsid w:val="00370A1C"/>
    <w:rsid w:val="00380676"/>
    <w:rsid w:val="00381751"/>
    <w:rsid w:val="003A70FD"/>
    <w:rsid w:val="003B2A95"/>
    <w:rsid w:val="003C55F6"/>
    <w:rsid w:val="003D467A"/>
    <w:rsid w:val="003F1BF5"/>
    <w:rsid w:val="003F3E80"/>
    <w:rsid w:val="004123FC"/>
    <w:rsid w:val="00414DFB"/>
    <w:rsid w:val="00427622"/>
    <w:rsid w:val="00432015"/>
    <w:rsid w:val="00454A9A"/>
    <w:rsid w:val="004752C4"/>
    <w:rsid w:val="00480FA5"/>
    <w:rsid w:val="004F0F73"/>
    <w:rsid w:val="004F33D2"/>
    <w:rsid w:val="004F7295"/>
    <w:rsid w:val="00500763"/>
    <w:rsid w:val="00506D87"/>
    <w:rsid w:val="00536F79"/>
    <w:rsid w:val="0055782E"/>
    <w:rsid w:val="005578BB"/>
    <w:rsid w:val="005669A8"/>
    <w:rsid w:val="00572B2B"/>
    <w:rsid w:val="00580C03"/>
    <w:rsid w:val="005878BB"/>
    <w:rsid w:val="00591597"/>
    <w:rsid w:val="00597026"/>
    <w:rsid w:val="005A38AC"/>
    <w:rsid w:val="005A7819"/>
    <w:rsid w:val="005C2B0F"/>
    <w:rsid w:val="005D29BE"/>
    <w:rsid w:val="005F2E8D"/>
    <w:rsid w:val="005F310F"/>
    <w:rsid w:val="00601BC6"/>
    <w:rsid w:val="00611595"/>
    <w:rsid w:val="00637DEF"/>
    <w:rsid w:val="00654D88"/>
    <w:rsid w:val="00691A11"/>
    <w:rsid w:val="00693CE1"/>
    <w:rsid w:val="006A0E71"/>
    <w:rsid w:val="006A3B75"/>
    <w:rsid w:val="006B5B1D"/>
    <w:rsid w:val="006B6A09"/>
    <w:rsid w:val="006F64D1"/>
    <w:rsid w:val="00722A4C"/>
    <w:rsid w:val="00735321"/>
    <w:rsid w:val="00764AAD"/>
    <w:rsid w:val="007650F4"/>
    <w:rsid w:val="007A3846"/>
    <w:rsid w:val="007D7154"/>
    <w:rsid w:val="007F2F71"/>
    <w:rsid w:val="00813D11"/>
    <w:rsid w:val="008216CE"/>
    <w:rsid w:val="00822E67"/>
    <w:rsid w:val="00823EBD"/>
    <w:rsid w:val="00840E22"/>
    <w:rsid w:val="00854B4A"/>
    <w:rsid w:val="0086283B"/>
    <w:rsid w:val="008632F7"/>
    <w:rsid w:val="00864C8B"/>
    <w:rsid w:val="008720BC"/>
    <w:rsid w:val="00877929"/>
    <w:rsid w:val="00885AF5"/>
    <w:rsid w:val="00891241"/>
    <w:rsid w:val="008A0C73"/>
    <w:rsid w:val="008A1F14"/>
    <w:rsid w:val="008A3E88"/>
    <w:rsid w:val="008E4AB4"/>
    <w:rsid w:val="008E68A7"/>
    <w:rsid w:val="008E6A2F"/>
    <w:rsid w:val="00910083"/>
    <w:rsid w:val="00923206"/>
    <w:rsid w:val="00926BCA"/>
    <w:rsid w:val="00935B72"/>
    <w:rsid w:val="009651A2"/>
    <w:rsid w:val="00974B13"/>
    <w:rsid w:val="00982BB1"/>
    <w:rsid w:val="00985763"/>
    <w:rsid w:val="009B1623"/>
    <w:rsid w:val="009B4028"/>
    <w:rsid w:val="009C37AA"/>
    <w:rsid w:val="009C6B08"/>
    <w:rsid w:val="009D081F"/>
    <w:rsid w:val="009F4D38"/>
    <w:rsid w:val="00A10A12"/>
    <w:rsid w:val="00A15F2B"/>
    <w:rsid w:val="00A16506"/>
    <w:rsid w:val="00A321B1"/>
    <w:rsid w:val="00A4255D"/>
    <w:rsid w:val="00A721E5"/>
    <w:rsid w:val="00A727D0"/>
    <w:rsid w:val="00A76BD0"/>
    <w:rsid w:val="00A86C65"/>
    <w:rsid w:val="00AA7960"/>
    <w:rsid w:val="00AC1F75"/>
    <w:rsid w:val="00AC6053"/>
    <w:rsid w:val="00AD29A3"/>
    <w:rsid w:val="00AD7AEA"/>
    <w:rsid w:val="00AE3243"/>
    <w:rsid w:val="00AE5007"/>
    <w:rsid w:val="00AF16BC"/>
    <w:rsid w:val="00AF60CF"/>
    <w:rsid w:val="00B168D5"/>
    <w:rsid w:val="00B35BC8"/>
    <w:rsid w:val="00B37B51"/>
    <w:rsid w:val="00B45FA3"/>
    <w:rsid w:val="00B64107"/>
    <w:rsid w:val="00B66C16"/>
    <w:rsid w:val="00B772AB"/>
    <w:rsid w:val="00B81212"/>
    <w:rsid w:val="00B87123"/>
    <w:rsid w:val="00B9060A"/>
    <w:rsid w:val="00B92CE0"/>
    <w:rsid w:val="00BA25C1"/>
    <w:rsid w:val="00BA5D17"/>
    <w:rsid w:val="00BB7709"/>
    <w:rsid w:val="00BC6416"/>
    <w:rsid w:val="00BF15D7"/>
    <w:rsid w:val="00C02B2C"/>
    <w:rsid w:val="00C30C08"/>
    <w:rsid w:val="00C3279C"/>
    <w:rsid w:val="00C332DF"/>
    <w:rsid w:val="00C37628"/>
    <w:rsid w:val="00C5206C"/>
    <w:rsid w:val="00C64880"/>
    <w:rsid w:val="00C72174"/>
    <w:rsid w:val="00C7643A"/>
    <w:rsid w:val="00C833FE"/>
    <w:rsid w:val="00CA7A60"/>
    <w:rsid w:val="00CA7EE9"/>
    <w:rsid w:val="00CC7A94"/>
    <w:rsid w:val="00CD6E0E"/>
    <w:rsid w:val="00CE3CDF"/>
    <w:rsid w:val="00D22F32"/>
    <w:rsid w:val="00D331DD"/>
    <w:rsid w:val="00D35215"/>
    <w:rsid w:val="00D41F58"/>
    <w:rsid w:val="00D540C2"/>
    <w:rsid w:val="00D80521"/>
    <w:rsid w:val="00D82A51"/>
    <w:rsid w:val="00D91A21"/>
    <w:rsid w:val="00DA60F7"/>
    <w:rsid w:val="00E26AEE"/>
    <w:rsid w:val="00E34E3C"/>
    <w:rsid w:val="00E50B17"/>
    <w:rsid w:val="00E5501B"/>
    <w:rsid w:val="00E7466D"/>
    <w:rsid w:val="00E77798"/>
    <w:rsid w:val="00E956D1"/>
    <w:rsid w:val="00EA4615"/>
    <w:rsid w:val="00EA65F9"/>
    <w:rsid w:val="00EB23B8"/>
    <w:rsid w:val="00EC3DD3"/>
    <w:rsid w:val="00ED74BA"/>
    <w:rsid w:val="00EF1DD8"/>
    <w:rsid w:val="00EF6FCA"/>
    <w:rsid w:val="00F00330"/>
    <w:rsid w:val="00F06465"/>
    <w:rsid w:val="00F41318"/>
    <w:rsid w:val="00F5347D"/>
    <w:rsid w:val="00F7168E"/>
    <w:rsid w:val="00F77150"/>
    <w:rsid w:val="00F85C16"/>
    <w:rsid w:val="00F93305"/>
    <w:rsid w:val="00FA17F0"/>
    <w:rsid w:val="00FA4EE7"/>
    <w:rsid w:val="00FD70AA"/>
    <w:rsid w:val="00FE5AA5"/>
    <w:rsid w:val="00FF5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4AB4"/>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237AA7"/>
    <w:rPr>
      <w:color w:val="0000FF" w:themeColor="hyperlink"/>
      <w:u w:val="single"/>
    </w:rPr>
  </w:style>
  <w:style w:type="table" w:styleId="TableGrid">
    <w:name w:val="Table Grid"/>
    <w:basedOn w:val="TableNormal"/>
    <w:uiPriority w:val="59"/>
    <w:rsid w:val="004F7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AEA"/>
    <w:pPr>
      <w:ind w:left="720"/>
      <w:contextualSpacing/>
    </w:pPr>
  </w:style>
  <w:style w:type="paragraph" w:styleId="Header">
    <w:name w:val="header"/>
    <w:basedOn w:val="Normal"/>
    <w:link w:val="HeaderChar"/>
    <w:uiPriority w:val="99"/>
    <w:unhideWhenUsed/>
    <w:rsid w:val="00B168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8D5"/>
  </w:style>
  <w:style w:type="paragraph" w:styleId="Footer">
    <w:name w:val="footer"/>
    <w:basedOn w:val="Normal"/>
    <w:link w:val="FooterChar"/>
    <w:uiPriority w:val="99"/>
    <w:unhideWhenUsed/>
    <w:rsid w:val="00B16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8D5"/>
  </w:style>
  <w:style w:type="paragraph" w:styleId="BalloonText">
    <w:name w:val="Balloon Text"/>
    <w:basedOn w:val="Normal"/>
    <w:link w:val="BalloonTextChar"/>
    <w:uiPriority w:val="99"/>
    <w:semiHidden/>
    <w:unhideWhenUsed/>
    <w:rsid w:val="005A3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8AC"/>
    <w:rPr>
      <w:rFonts w:ascii="Tahoma" w:hAnsi="Tahoma" w:cs="Tahoma"/>
      <w:sz w:val="16"/>
      <w:szCs w:val="16"/>
    </w:rPr>
  </w:style>
  <w:style w:type="character" w:styleId="CommentReference">
    <w:name w:val="annotation reference"/>
    <w:basedOn w:val="DefaultParagraphFont"/>
    <w:uiPriority w:val="99"/>
    <w:semiHidden/>
    <w:unhideWhenUsed/>
    <w:rsid w:val="00292F5E"/>
    <w:rPr>
      <w:sz w:val="16"/>
      <w:szCs w:val="16"/>
    </w:rPr>
  </w:style>
  <w:style w:type="paragraph" w:styleId="CommentText">
    <w:name w:val="annotation text"/>
    <w:basedOn w:val="Normal"/>
    <w:link w:val="CommentTextChar"/>
    <w:uiPriority w:val="99"/>
    <w:semiHidden/>
    <w:unhideWhenUsed/>
    <w:rsid w:val="00292F5E"/>
    <w:pPr>
      <w:spacing w:line="240" w:lineRule="auto"/>
    </w:pPr>
    <w:rPr>
      <w:sz w:val="20"/>
      <w:szCs w:val="20"/>
    </w:rPr>
  </w:style>
  <w:style w:type="character" w:customStyle="1" w:styleId="CommentTextChar">
    <w:name w:val="Comment Text Char"/>
    <w:basedOn w:val="DefaultParagraphFont"/>
    <w:link w:val="CommentText"/>
    <w:uiPriority w:val="99"/>
    <w:semiHidden/>
    <w:rsid w:val="00292F5E"/>
    <w:rPr>
      <w:sz w:val="20"/>
      <w:szCs w:val="20"/>
    </w:rPr>
  </w:style>
  <w:style w:type="paragraph" w:styleId="CommentSubject">
    <w:name w:val="annotation subject"/>
    <w:basedOn w:val="CommentText"/>
    <w:next w:val="CommentText"/>
    <w:link w:val="CommentSubjectChar"/>
    <w:uiPriority w:val="99"/>
    <w:semiHidden/>
    <w:unhideWhenUsed/>
    <w:rsid w:val="00292F5E"/>
    <w:rPr>
      <w:b/>
      <w:bCs/>
    </w:rPr>
  </w:style>
  <w:style w:type="character" w:customStyle="1" w:styleId="CommentSubjectChar">
    <w:name w:val="Comment Subject Char"/>
    <w:basedOn w:val="CommentTextChar"/>
    <w:link w:val="CommentSubject"/>
    <w:uiPriority w:val="99"/>
    <w:semiHidden/>
    <w:rsid w:val="00292F5E"/>
    <w:rPr>
      <w:b/>
      <w:bCs/>
      <w:sz w:val="20"/>
      <w:szCs w:val="20"/>
    </w:rPr>
  </w:style>
  <w:style w:type="character" w:styleId="FollowedHyperlink">
    <w:name w:val="FollowedHyperlink"/>
    <w:basedOn w:val="DefaultParagraphFont"/>
    <w:uiPriority w:val="99"/>
    <w:semiHidden/>
    <w:unhideWhenUsed/>
    <w:rsid w:val="001347A3"/>
    <w:rPr>
      <w:color w:val="800080" w:themeColor="followedHyperlink"/>
      <w:u w:val="single"/>
    </w:rPr>
  </w:style>
  <w:style w:type="character" w:customStyle="1" w:styleId="UnresolvedMention">
    <w:name w:val="Unresolved Mention"/>
    <w:basedOn w:val="DefaultParagraphFont"/>
    <w:uiPriority w:val="99"/>
    <w:semiHidden/>
    <w:unhideWhenUsed/>
    <w:rsid w:val="008A3E88"/>
    <w:rPr>
      <w:color w:val="605E5C"/>
      <w:shd w:val="clear" w:color="auto" w:fill="E1DFDD"/>
    </w:rPr>
  </w:style>
  <w:style w:type="character" w:styleId="Strong">
    <w:name w:val="Strong"/>
    <w:basedOn w:val="DefaultParagraphFont"/>
    <w:uiPriority w:val="22"/>
    <w:qFormat/>
    <w:rsid w:val="003651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4AB4"/>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237AA7"/>
    <w:rPr>
      <w:color w:val="0000FF" w:themeColor="hyperlink"/>
      <w:u w:val="single"/>
    </w:rPr>
  </w:style>
  <w:style w:type="table" w:styleId="TableGrid">
    <w:name w:val="Table Grid"/>
    <w:basedOn w:val="TableNormal"/>
    <w:uiPriority w:val="59"/>
    <w:rsid w:val="004F7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AEA"/>
    <w:pPr>
      <w:ind w:left="720"/>
      <w:contextualSpacing/>
    </w:pPr>
  </w:style>
  <w:style w:type="paragraph" w:styleId="Header">
    <w:name w:val="header"/>
    <w:basedOn w:val="Normal"/>
    <w:link w:val="HeaderChar"/>
    <w:uiPriority w:val="99"/>
    <w:unhideWhenUsed/>
    <w:rsid w:val="00B168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8D5"/>
  </w:style>
  <w:style w:type="paragraph" w:styleId="Footer">
    <w:name w:val="footer"/>
    <w:basedOn w:val="Normal"/>
    <w:link w:val="FooterChar"/>
    <w:uiPriority w:val="99"/>
    <w:unhideWhenUsed/>
    <w:rsid w:val="00B16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8D5"/>
  </w:style>
  <w:style w:type="paragraph" w:styleId="BalloonText">
    <w:name w:val="Balloon Text"/>
    <w:basedOn w:val="Normal"/>
    <w:link w:val="BalloonTextChar"/>
    <w:uiPriority w:val="99"/>
    <w:semiHidden/>
    <w:unhideWhenUsed/>
    <w:rsid w:val="005A3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8AC"/>
    <w:rPr>
      <w:rFonts w:ascii="Tahoma" w:hAnsi="Tahoma" w:cs="Tahoma"/>
      <w:sz w:val="16"/>
      <w:szCs w:val="16"/>
    </w:rPr>
  </w:style>
  <w:style w:type="character" w:styleId="CommentReference">
    <w:name w:val="annotation reference"/>
    <w:basedOn w:val="DefaultParagraphFont"/>
    <w:uiPriority w:val="99"/>
    <w:semiHidden/>
    <w:unhideWhenUsed/>
    <w:rsid w:val="00292F5E"/>
    <w:rPr>
      <w:sz w:val="16"/>
      <w:szCs w:val="16"/>
    </w:rPr>
  </w:style>
  <w:style w:type="paragraph" w:styleId="CommentText">
    <w:name w:val="annotation text"/>
    <w:basedOn w:val="Normal"/>
    <w:link w:val="CommentTextChar"/>
    <w:uiPriority w:val="99"/>
    <w:semiHidden/>
    <w:unhideWhenUsed/>
    <w:rsid w:val="00292F5E"/>
    <w:pPr>
      <w:spacing w:line="240" w:lineRule="auto"/>
    </w:pPr>
    <w:rPr>
      <w:sz w:val="20"/>
      <w:szCs w:val="20"/>
    </w:rPr>
  </w:style>
  <w:style w:type="character" w:customStyle="1" w:styleId="CommentTextChar">
    <w:name w:val="Comment Text Char"/>
    <w:basedOn w:val="DefaultParagraphFont"/>
    <w:link w:val="CommentText"/>
    <w:uiPriority w:val="99"/>
    <w:semiHidden/>
    <w:rsid w:val="00292F5E"/>
    <w:rPr>
      <w:sz w:val="20"/>
      <w:szCs w:val="20"/>
    </w:rPr>
  </w:style>
  <w:style w:type="paragraph" w:styleId="CommentSubject">
    <w:name w:val="annotation subject"/>
    <w:basedOn w:val="CommentText"/>
    <w:next w:val="CommentText"/>
    <w:link w:val="CommentSubjectChar"/>
    <w:uiPriority w:val="99"/>
    <w:semiHidden/>
    <w:unhideWhenUsed/>
    <w:rsid w:val="00292F5E"/>
    <w:rPr>
      <w:b/>
      <w:bCs/>
    </w:rPr>
  </w:style>
  <w:style w:type="character" w:customStyle="1" w:styleId="CommentSubjectChar">
    <w:name w:val="Comment Subject Char"/>
    <w:basedOn w:val="CommentTextChar"/>
    <w:link w:val="CommentSubject"/>
    <w:uiPriority w:val="99"/>
    <w:semiHidden/>
    <w:rsid w:val="00292F5E"/>
    <w:rPr>
      <w:b/>
      <w:bCs/>
      <w:sz w:val="20"/>
      <w:szCs w:val="20"/>
    </w:rPr>
  </w:style>
  <w:style w:type="character" w:styleId="FollowedHyperlink">
    <w:name w:val="FollowedHyperlink"/>
    <w:basedOn w:val="DefaultParagraphFont"/>
    <w:uiPriority w:val="99"/>
    <w:semiHidden/>
    <w:unhideWhenUsed/>
    <w:rsid w:val="001347A3"/>
    <w:rPr>
      <w:color w:val="800080" w:themeColor="followedHyperlink"/>
      <w:u w:val="single"/>
    </w:rPr>
  </w:style>
  <w:style w:type="character" w:customStyle="1" w:styleId="UnresolvedMention">
    <w:name w:val="Unresolved Mention"/>
    <w:basedOn w:val="DefaultParagraphFont"/>
    <w:uiPriority w:val="99"/>
    <w:semiHidden/>
    <w:unhideWhenUsed/>
    <w:rsid w:val="008A3E88"/>
    <w:rPr>
      <w:color w:val="605E5C"/>
      <w:shd w:val="clear" w:color="auto" w:fill="E1DFDD"/>
    </w:rPr>
  </w:style>
  <w:style w:type="character" w:styleId="Strong">
    <w:name w:val="Strong"/>
    <w:basedOn w:val="DefaultParagraphFont"/>
    <w:uiPriority w:val="22"/>
    <w:qFormat/>
    <w:rsid w:val="003651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epsrc.ukri.org/funding/applicationprocess/fundingguide/" TargetMode="External"/><Relationship Id="rId18" Type="http://schemas.openxmlformats.org/officeDocument/2006/relationships/hyperlink" Target="https://doi.org/10.1145/3184558.3191636"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tools.ietf.org/html/rfc7303" TargetMode="External"/><Relationship Id="rId2" Type="http://schemas.openxmlformats.org/officeDocument/2006/relationships/customXml" Target="../customXml/item2.xml"/><Relationship Id="rId16" Type="http://schemas.openxmlformats.org/officeDocument/2006/relationships/hyperlink" Target="https://doi.org/10.1145/2464464.253251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ariadne.ac.uk/issue65/thompson/" TargetMode="External"/><Relationship Id="rId10" Type="http://schemas.openxmlformats.org/officeDocument/2006/relationships/webSettings" Target="webSettings.xml"/><Relationship Id="rId19" Type="http://schemas.openxmlformats.org/officeDocument/2006/relationships/hyperlink" Target="http://www.w3.org/2001/tag/doc/nsDocumen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martsurvey.co.uk/s/1GBOOJ/"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 xmlns="1592e4ae-ebca-45d1-99bb-f3c4aa0ca0ea">ESPACEWZONES-1448097408-38858</_dlc_DocId>
    <_dlc_DocIdUrl xmlns="1592e4ae-ebca-45d1-99bb-f3c4aa0ca0ea">
      <Url>https://psuportal.ahrc.ac.uk/espace/wzones/capt/ri/_layouts/15/DocIdRedir.aspx?ID=ESPACEWZONES-1448097408-38858</Url>
      <Description>ESPACEWZONES-1448097408-38858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779DCF4E332264BBFDC48123C78ADC7" ma:contentTypeVersion="17" ma:contentTypeDescription="Create a new document." ma:contentTypeScope="" ma:versionID="12b2657a6498e0248b5f660b65bd46d0">
  <xsd:schema xmlns:xsd="http://www.w3.org/2001/XMLSchema" xmlns:xs="http://www.w3.org/2001/XMLSchema" xmlns:p="http://schemas.microsoft.com/office/2006/metadata/properties" xmlns:ns2="1592e4ae-ebca-45d1-99bb-f3c4aa0ca0ea" targetNamespace="http://schemas.microsoft.com/office/2006/metadata/properties" ma:root="true" ma:fieldsID="cdc85d881ea5f458a7acb0952a61058e" ns2:_="">
    <xsd:import namespace="1592e4ae-ebca-45d1-99bb-f3c4aa0ca0e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e4ae-ebca-45d1-99bb-f3c4aa0ca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CA819-39F0-4F4E-A2AC-AD5ED7879A73}">
  <ds:schemaRefs>
    <ds:schemaRef ds:uri="http://schemas.microsoft.com/sharepoint/v3/contenttype/forms"/>
  </ds:schemaRefs>
</ds:datastoreItem>
</file>

<file path=customXml/itemProps2.xml><?xml version="1.0" encoding="utf-8"?>
<ds:datastoreItem xmlns:ds="http://schemas.openxmlformats.org/officeDocument/2006/customXml" ds:itemID="{6368AD7B-4FE6-45F3-AD17-7EF52275E6EA}">
  <ds:schemaRefs>
    <ds:schemaRef ds:uri="http://schemas.microsoft.com/office/2006/metadata/properties"/>
    <ds:schemaRef ds:uri="1592e4ae-ebca-45d1-99bb-f3c4aa0ca0ea"/>
  </ds:schemaRefs>
</ds:datastoreItem>
</file>

<file path=customXml/itemProps3.xml><?xml version="1.0" encoding="utf-8"?>
<ds:datastoreItem xmlns:ds="http://schemas.openxmlformats.org/officeDocument/2006/customXml" ds:itemID="{BD121C7A-3855-466D-95FD-DC86A796F3B1}">
  <ds:schemaRefs>
    <ds:schemaRef ds:uri="http://schemas.microsoft.com/sharepoint/events"/>
  </ds:schemaRefs>
</ds:datastoreItem>
</file>

<file path=customXml/itemProps4.xml><?xml version="1.0" encoding="utf-8"?>
<ds:datastoreItem xmlns:ds="http://schemas.openxmlformats.org/officeDocument/2006/customXml" ds:itemID="{5CE1E965-A731-47C4-A169-6F72A2177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2e4ae-ebca-45d1-99bb-f3c4aa0ca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ADE106-700A-4C0E-919F-CC975033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4577</TotalTime>
  <Pages>9</Pages>
  <Words>2285</Words>
  <Characters>13031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15286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Erat;Henry S. Thompson</dc:creator>
  <cp:lastModifiedBy>Henry S Thompson</cp:lastModifiedBy>
  <cp:revision>30</cp:revision>
  <cp:lastPrinted>2021-04-30T14:32:00Z</cp:lastPrinted>
  <dcterms:created xsi:type="dcterms:W3CDTF">2021-04-27T10:30:00Z</dcterms:created>
  <dcterms:modified xsi:type="dcterms:W3CDTF">2021-04-30T14:46:00Z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0x0101006779DCF4E332264BBFDC48123C78ADC7</vt:lpwstr>
  </property>
  <property fmtid="{D5CDD505-2E9C-101B-9397-08002B2CF9AE}" pid="3" name="Order">
    <vt:r8>31505400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726fb499-e19d-4925-b53d-1cfc05935519</vt:lpwstr>
  </property>
</Properties>
</file>